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CBF1" w14:textId="439BB9B2" w:rsidR="00543772" w:rsidRDefault="00543772" w:rsidP="00543772">
      <w:pPr>
        <w:pStyle w:val="NoSpacing"/>
      </w:pPr>
    </w:p>
    <w:p w14:paraId="5F387924" w14:textId="0C7D88AB" w:rsidR="00603E4F" w:rsidRDefault="009D1804" w:rsidP="004F79C6">
      <w:pPr>
        <w:widowControl/>
        <w:autoSpaceDE/>
        <w:autoSpaceDN/>
        <w:spacing w:after="0"/>
        <w:jc w:val="center"/>
        <w:rPr>
          <w:b/>
          <w:bCs/>
        </w:rPr>
      </w:pPr>
      <w:r w:rsidRPr="00AB0194">
        <w:rPr>
          <w:rStyle w:val="Heading1Char"/>
          <w:b/>
          <w:b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E25E91" wp14:editId="004757D0">
                <wp:simplePos x="0" y="0"/>
                <wp:positionH relativeFrom="margin">
                  <wp:align>right</wp:align>
                </wp:positionH>
                <wp:positionV relativeFrom="paragraph">
                  <wp:posOffset>400685</wp:posOffset>
                </wp:positionV>
                <wp:extent cx="5876925" cy="19812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C865B" w14:textId="3C6FDE01" w:rsidR="009D1804" w:rsidRDefault="009D1804" w:rsidP="009D1804">
                            <w:r>
                              <w:t xml:space="preserve">Pursuant to C.R.S. 22-1-119.3 and </w:t>
                            </w:r>
                            <w:hyperlink r:id="rId7" w:history="1">
                              <w:r w:rsidRPr="00D6075A">
                                <w:rPr>
                                  <w:rStyle w:val="Hyperlink"/>
                                </w:rPr>
                                <w:t>CSI Board Policy</w:t>
                              </w:r>
                            </w:hyperlink>
                            <w:r>
                              <w:t>, CSI schools</w:t>
                            </w:r>
                            <w:r w:rsidR="00E837A5">
                              <w:t xml:space="preserve"> should</w:t>
                            </w:r>
                            <w:r>
                              <w:t xml:space="preserve"> adopt a Medication Administration Policy permitting the possession and self-administration of medication to students attending CSI schools. </w:t>
                            </w:r>
                            <w:bookmarkStart w:id="0" w:name="_Hlk145622770"/>
                            <w:r>
                              <w:t xml:space="preserve">This sample policy is intended to be used by CSI Schools in drafting their own Medication Administration </w:t>
                            </w:r>
                            <w:r w:rsidR="000F23C4">
                              <w:t>p</w:t>
                            </w:r>
                            <w:r>
                              <w:t xml:space="preserve">olicies. </w:t>
                            </w:r>
                            <w:r w:rsidRPr="00D6075A">
                              <w:t>While th</w:t>
                            </w:r>
                            <w:r>
                              <w:t>e</w:t>
                            </w:r>
                            <w:r w:rsidRPr="00D6075A">
                              <w:t xml:space="preserve"> sample language provide</w:t>
                            </w:r>
                            <w:r>
                              <w:t>s</w:t>
                            </w:r>
                            <w:r w:rsidRPr="00D6075A">
                              <w:t xml:space="preserve"> a helpful starting point, each school’s policy may be tailored to its own practices and preferences within the confines of the </w:t>
                            </w:r>
                            <w:r>
                              <w:t>requirements outlines in statute and State Board Rule, 1 CCR 301-68</w:t>
                            </w:r>
                            <w:r w:rsidRPr="00D6075A">
                              <w:t xml:space="preserve">. This document </w:t>
                            </w:r>
                            <w:r>
                              <w:t>may not be</w:t>
                            </w:r>
                            <w:r w:rsidRPr="00D6075A">
                              <w:t xml:space="preserve"> inclusive of everything a school could have in its policy, and schools are encouraged to have all policies reviewed by legal counsel and by CSI prior to adoption.</w:t>
                            </w:r>
                            <w:r>
                              <w:t xml:space="preserve"> Schools implementing a Medication Administration Policy should consult the Colorado Department of Education’s </w:t>
                            </w:r>
                            <w:hyperlink r:id="rId8" w:history="1">
                              <w:r w:rsidRPr="00012FE5">
                                <w:rPr>
                                  <w:rStyle w:val="Hyperlink"/>
                                </w:rPr>
                                <w:t>guidelines regarding medication administration</w:t>
                              </w:r>
                            </w:hyperlink>
                            <w:r>
                              <w:t xml:space="preserve"> in the school setting</w:t>
                            </w:r>
                            <w:bookmarkEnd w:id="0"/>
                            <w:r>
                              <w:t>.</w:t>
                            </w:r>
                          </w:p>
                          <w:p w14:paraId="167C9C21" w14:textId="204A18D9" w:rsidR="009D1804" w:rsidRDefault="009D18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25E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55pt;margin-top:31.55pt;width:462.75pt;height:15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">
                <v:textbox>
                  <w:txbxContent>
                    <w:p w14:paraId="128C865B" w14:textId="3C6FDE01" w:rsidR="009D1804" w:rsidRDefault="009D1804" w:rsidP="009D1804">
                      <w:r>
                        <w:t xml:space="preserve">Pursuant to C.R.S. 22-1-119.3 and </w:t>
                      </w:r>
                      <w:hyperlink r:id="rId9" w:history="1">
                        <w:r w:rsidRPr="00D6075A">
                          <w:rPr>
                            <w:rStyle w:val="Hyperlink"/>
                          </w:rPr>
                          <w:t>CSI Board Policy</w:t>
                        </w:r>
                      </w:hyperlink>
                      <w:r>
                        <w:t>, CSI schools</w:t>
                      </w:r>
                      <w:r w:rsidR="00E837A5">
                        <w:t xml:space="preserve"> should</w:t>
                      </w:r>
                      <w:r>
                        <w:t xml:space="preserve"> adopt a Medication Administration Policy permitting the possession and self-administration of medication to students attending CSI schools. </w:t>
                      </w:r>
                      <w:bookmarkStart w:id="1" w:name="_Hlk145622770"/>
                      <w:r>
                        <w:t xml:space="preserve">This sample policy is intended to be used by CSI Schools in drafting their own Medication Administration </w:t>
                      </w:r>
                      <w:r w:rsidR="000F23C4">
                        <w:t>p</w:t>
                      </w:r>
                      <w:r>
                        <w:t xml:space="preserve">olicies. </w:t>
                      </w:r>
                      <w:r w:rsidRPr="00D6075A">
                        <w:t>While th</w:t>
                      </w:r>
                      <w:r>
                        <w:t>e</w:t>
                      </w:r>
                      <w:r w:rsidRPr="00D6075A">
                        <w:t xml:space="preserve"> sample language provide</w:t>
                      </w:r>
                      <w:r>
                        <w:t>s</w:t>
                      </w:r>
                      <w:r w:rsidRPr="00D6075A">
                        <w:t xml:space="preserve"> a helpful starting point, each school’s policy may be tailored to its own practices and preferences within the confines of the </w:t>
                      </w:r>
                      <w:r>
                        <w:t>requirements outlines in statute and State Board Rule, 1 CCR 301-68</w:t>
                      </w:r>
                      <w:r w:rsidRPr="00D6075A">
                        <w:t xml:space="preserve">. This document </w:t>
                      </w:r>
                      <w:r>
                        <w:t>may not be</w:t>
                      </w:r>
                      <w:r w:rsidRPr="00D6075A">
                        <w:t xml:space="preserve"> inclusive of everything a school could have in its policy, and schools are encouraged to have all policies reviewed by legal counsel and by CSI prior to adoption.</w:t>
                      </w:r>
                      <w:r>
                        <w:t xml:space="preserve"> Schools implementing a Medication Administration Policy should consult the Colorado Department of Education’s </w:t>
                      </w:r>
                      <w:hyperlink r:id="rId10" w:history="1">
                        <w:r w:rsidRPr="00012FE5">
                          <w:rPr>
                            <w:rStyle w:val="Hyperlink"/>
                          </w:rPr>
                          <w:t>guidelines regarding medication administration</w:t>
                        </w:r>
                      </w:hyperlink>
                      <w:r>
                        <w:t xml:space="preserve"> in the school setting</w:t>
                      </w:r>
                      <w:bookmarkEnd w:id="1"/>
                      <w:r>
                        <w:t>.</w:t>
                      </w:r>
                    </w:p>
                    <w:p w14:paraId="167C9C21" w14:textId="204A18D9" w:rsidR="009D1804" w:rsidRDefault="009D1804"/>
                  </w:txbxContent>
                </v:textbox>
                <w10:wrap type="square" anchorx="margin"/>
              </v:shape>
            </w:pict>
          </mc:Fallback>
        </mc:AlternateContent>
      </w:r>
      <w:r w:rsidR="004F79C6" w:rsidRPr="00AB0194">
        <w:rPr>
          <w:rStyle w:val="Heading1Char"/>
          <w:b/>
          <w:bCs/>
        </w:rPr>
        <w:t>ADMINIST</w:t>
      </w:r>
      <w:r w:rsidR="00E01926" w:rsidRPr="00AB0194">
        <w:rPr>
          <w:rStyle w:val="Heading1Char"/>
          <w:b/>
          <w:bCs/>
        </w:rPr>
        <w:t>ERING MEDICATIONS TO STUDENT</w:t>
      </w:r>
      <w:r w:rsidR="00E01926">
        <w:rPr>
          <w:b/>
          <w:bCs/>
        </w:rPr>
        <w:t>S</w:t>
      </w:r>
    </w:p>
    <w:p w14:paraId="5F07EEBF" w14:textId="77777777" w:rsidR="009D1804" w:rsidRDefault="009D1804" w:rsidP="00384E05">
      <w:pPr>
        <w:widowControl/>
        <w:autoSpaceDE/>
        <w:autoSpaceDN/>
        <w:spacing w:before="0" w:after="160" w:line="259" w:lineRule="auto"/>
      </w:pPr>
    </w:p>
    <w:p w14:paraId="06D77634" w14:textId="0DC1CDFC" w:rsidR="00384E05" w:rsidRPr="00384E05" w:rsidRDefault="00384E05" w:rsidP="00384E05">
      <w:pPr>
        <w:widowControl/>
        <w:autoSpaceDE/>
        <w:autoSpaceDN/>
        <w:spacing w:before="0" w:after="160" w:line="259" w:lineRule="auto"/>
      </w:pPr>
      <w:r w:rsidRPr="00384E05">
        <w:t>School personnel may not administer prescription or nonprescription medications to students unless appropriate administration cannot reasonably be accomplished outside of school hours.</w:t>
      </w:r>
    </w:p>
    <w:p w14:paraId="75CCD35D" w14:textId="57EA9B15" w:rsidR="00384E05" w:rsidRPr="00384E05" w:rsidRDefault="00384E05" w:rsidP="00384E05">
      <w:pPr>
        <w:widowControl/>
        <w:autoSpaceDE/>
        <w:autoSpaceDN/>
        <w:spacing w:before="0" w:after="160" w:line="259" w:lineRule="auto"/>
      </w:pPr>
      <w:r w:rsidRPr="00384E05">
        <w:t>Medication</w:t>
      </w:r>
      <w:r w:rsidR="008500D7">
        <w:t>s</w:t>
      </w:r>
      <w:r w:rsidRPr="00384E05">
        <w:t xml:space="preserve"> may be administered to students by school personnel </w:t>
      </w:r>
      <w:r w:rsidR="008500D7">
        <w:t xml:space="preserve">who have been trained and delegated for medication administration by a </w:t>
      </w:r>
      <w:r w:rsidR="00AB0194">
        <w:t>licensed school</w:t>
      </w:r>
      <w:r w:rsidRPr="00384E05">
        <w:t xml:space="preserve"> nurse</w:t>
      </w:r>
      <w:r w:rsidR="00B25DC3">
        <w:t>.</w:t>
      </w:r>
      <w:r w:rsidRPr="00384E05">
        <w:t xml:space="preserve"> For purposes of this policy, the term "medication" includes both prescription medication and nonprescription </w:t>
      </w:r>
      <w:proofErr w:type="gramStart"/>
      <w:r w:rsidRPr="00384E05">
        <w:t>medication, but</w:t>
      </w:r>
      <w:proofErr w:type="gramEnd"/>
      <w:r w:rsidRPr="00384E05">
        <w:t xml:space="preserve"> does not include medical marijuana.</w:t>
      </w:r>
    </w:p>
    <w:p w14:paraId="0F84D429" w14:textId="1636A841" w:rsidR="00142297" w:rsidRPr="008500D7" w:rsidRDefault="00384E05" w:rsidP="00384E05">
      <w:pPr>
        <w:widowControl/>
        <w:autoSpaceDE/>
        <w:autoSpaceDN/>
        <w:spacing w:before="0" w:after="160" w:line="259" w:lineRule="auto"/>
      </w:pPr>
      <w:r w:rsidRPr="008500D7">
        <w:t>Student possession, use, distribution, sale or being under the influence of medication inconsistent with this policy will be considered a violation of Board policy concerning drug and alcohol involvement by students and may subject the student to disciplinary consequences, including suspension and/or expulsion, in accordance with applicable Board policy.</w:t>
      </w:r>
    </w:p>
    <w:p w14:paraId="38D35BBA" w14:textId="2EA00555" w:rsidR="00384E05" w:rsidRPr="008500D7" w:rsidRDefault="00142297" w:rsidP="00384E05">
      <w:pPr>
        <w:widowControl/>
        <w:autoSpaceDE/>
        <w:autoSpaceDN/>
        <w:spacing w:before="0" w:after="160" w:line="259" w:lineRule="auto"/>
      </w:pPr>
      <w:commentRangeStart w:id="2"/>
      <w:r w:rsidRPr="008500D7">
        <w:t xml:space="preserve">The administration of medical marijuana must be in accordance with the Board's policy on </w:t>
      </w:r>
      <w:r w:rsidR="001C4EF3" w:rsidRPr="008500D7">
        <w:t>A</w:t>
      </w:r>
      <w:r w:rsidRPr="008500D7">
        <w:t xml:space="preserve">dministration of </w:t>
      </w:r>
      <w:r w:rsidR="001C4EF3" w:rsidRPr="008500D7">
        <w:t>M</w:t>
      </w:r>
      <w:r w:rsidRPr="008500D7">
        <w:t xml:space="preserve">edical </w:t>
      </w:r>
      <w:r w:rsidR="001C4EF3" w:rsidRPr="008500D7">
        <w:t>M</w:t>
      </w:r>
      <w:r w:rsidRPr="008500D7">
        <w:t xml:space="preserve">arijuana to </w:t>
      </w:r>
      <w:r w:rsidR="001C4EF3" w:rsidRPr="008500D7">
        <w:t>Q</w:t>
      </w:r>
      <w:r w:rsidRPr="008500D7">
        <w:t xml:space="preserve">ualified </w:t>
      </w:r>
      <w:r w:rsidR="001C4EF3" w:rsidRPr="008500D7">
        <w:t>S</w:t>
      </w:r>
      <w:r w:rsidRPr="008500D7">
        <w:t>tudents.</w:t>
      </w:r>
      <w:commentRangeEnd w:id="2"/>
      <w:r w:rsidRPr="00B25DC3">
        <w:rPr>
          <w:rStyle w:val="CommentReference"/>
          <w:sz w:val="22"/>
          <w:szCs w:val="22"/>
        </w:rPr>
        <w:commentReference w:id="2"/>
      </w:r>
    </w:p>
    <w:p w14:paraId="1F72B36F" w14:textId="77777777" w:rsidR="00384E05" w:rsidRPr="008500D7" w:rsidRDefault="00384E05" w:rsidP="00384E05">
      <w:pPr>
        <w:widowControl/>
        <w:autoSpaceDE/>
        <w:autoSpaceDN/>
        <w:spacing w:before="0" w:after="160" w:line="259" w:lineRule="auto"/>
      </w:pPr>
      <w:r w:rsidRPr="008500D7">
        <w:t>The term "nonprescription medication" includes but is not limited to over-the-counter medications, homeopathic and herbal medications, vitamins and nutritional supplements.</w:t>
      </w:r>
    </w:p>
    <w:p w14:paraId="1F1074E1" w14:textId="77777777" w:rsidR="00384E05" w:rsidRPr="008500D7" w:rsidRDefault="00384E05" w:rsidP="00384E05">
      <w:pPr>
        <w:widowControl/>
        <w:autoSpaceDE/>
        <w:autoSpaceDN/>
        <w:spacing w:before="0" w:after="160" w:line="259" w:lineRule="auto"/>
      </w:pPr>
      <w:r w:rsidRPr="008500D7">
        <w:t>Medication may be administered to students only when the following requirements are met:</w:t>
      </w:r>
    </w:p>
    <w:p w14:paraId="2CB8BF41" w14:textId="7AC1D616" w:rsidR="00384E05" w:rsidRPr="008500D7" w:rsidRDefault="00384E05" w:rsidP="00384E05">
      <w:pPr>
        <w:widowControl/>
        <w:numPr>
          <w:ilvl w:val="0"/>
          <w:numId w:val="18"/>
        </w:numPr>
        <w:autoSpaceDE/>
        <w:autoSpaceDN/>
        <w:spacing w:before="0" w:after="160" w:line="259" w:lineRule="auto"/>
      </w:pPr>
      <w:r w:rsidRPr="008500D7">
        <w:t xml:space="preserve">Medication must be in the original properly labeled container. </w:t>
      </w:r>
      <w:r w:rsidR="008500D7" w:rsidRPr="008500D7">
        <w:t>For</w:t>
      </w:r>
      <w:r w:rsidRPr="008500D7">
        <w:t xml:space="preserve"> prescription medication</w:t>
      </w:r>
      <w:r w:rsidR="008500D7" w:rsidRPr="008500D7">
        <w:t>s</w:t>
      </w:r>
      <w:r w:rsidRPr="008500D7">
        <w:t>, the student's name, name of the medication, dosage, how often it is to be administered, and name of the prescribing health care practitioner shall be printed on the container.</w:t>
      </w:r>
    </w:p>
    <w:p w14:paraId="468DE2A0" w14:textId="030A76A3" w:rsidR="00384E05" w:rsidRPr="008500D7" w:rsidRDefault="00384E05" w:rsidP="00384E05">
      <w:pPr>
        <w:widowControl/>
        <w:numPr>
          <w:ilvl w:val="0"/>
          <w:numId w:val="18"/>
        </w:numPr>
        <w:autoSpaceDE/>
        <w:autoSpaceDN/>
        <w:spacing w:before="0" w:after="160" w:line="259" w:lineRule="auto"/>
      </w:pPr>
      <w:r w:rsidRPr="008500D7">
        <w:t xml:space="preserve">The school must have received written permission from the student's parent/guardian to administer the medication to the student </w:t>
      </w:r>
      <w:proofErr w:type="gramStart"/>
      <w:r w:rsidRPr="008500D7">
        <w:t xml:space="preserve">and </w:t>
      </w:r>
      <w:r w:rsidR="008500D7">
        <w:t>also</w:t>
      </w:r>
      <w:proofErr w:type="gramEnd"/>
      <w:r w:rsidR="008500D7">
        <w:t xml:space="preserve"> has received </w:t>
      </w:r>
      <w:r w:rsidRPr="008500D7">
        <w:t>either:</w:t>
      </w:r>
    </w:p>
    <w:p w14:paraId="676E1F62" w14:textId="4BD06704" w:rsidR="00384E05" w:rsidRDefault="00384E05" w:rsidP="00384E05">
      <w:pPr>
        <w:widowControl/>
        <w:numPr>
          <w:ilvl w:val="1"/>
          <w:numId w:val="18"/>
        </w:numPr>
        <w:autoSpaceDE/>
        <w:autoSpaceDN/>
        <w:spacing w:before="0" w:after="160" w:line="259" w:lineRule="auto"/>
      </w:pPr>
      <w:r w:rsidRPr="00384E05">
        <w:t>written permission to administer the medication from the student's health care practitioner with prescriptive authority under Colorado law; or</w:t>
      </w:r>
    </w:p>
    <w:p w14:paraId="2F4D1DD0" w14:textId="77777777" w:rsidR="00AB0194" w:rsidRPr="00AB0194" w:rsidRDefault="00AB0194" w:rsidP="00AB0194">
      <w:pPr>
        <w:jc w:val="right"/>
      </w:pPr>
    </w:p>
    <w:p w14:paraId="328AE626" w14:textId="265CAEF3" w:rsidR="00384E05" w:rsidRPr="00384E05" w:rsidRDefault="00384E05" w:rsidP="00384E05">
      <w:pPr>
        <w:widowControl/>
        <w:numPr>
          <w:ilvl w:val="1"/>
          <w:numId w:val="18"/>
        </w:numPr>
        <w:autoSpaceDE/>
        <w:autoSpaceDN/>
        <w:spacing w:before="0" w:after="160" w:line="259" w:lineRule="auto"/>
      </w:pPr>
      <w:r w:rsidRPr="00384E05">
        <w:lastRenderedPageBreak/>
        <w:t>a standing medical order, if the medication is an over-the-counter medication such as Advil or Tylenol.</w:t>
      </w:r>
    </w:p>
    <w:p w14:paraId="15AC0C76" w14:textId="77777777" w:rsidR="00384E05" w:rsidRPr="00384E05" w:rsidRDefault="00384E05" w:rsidP="00384E05">
      <w:pPr>
        <w:widowControl/>
        <w:numPr>
          <w:ilvl w:val="0"/>
          <w:numId w:val="18"/>
        </w:numPr>
        <w:autoSpaceDE/>
        <w:autoSpaceDN/>
        <w:spacing w:before="0" w:after="160" w:line="259" w:lineRule="auto"/>
      </w:pPr>
      <w:r w:rsidRPr="00384E05">
        <w:t>The parent/guardian is responsible for providing all medication to be administered to the student, unless it is an over-the-counter medication such as Advil or Tylenol.</w:t>
      </w:r>
    </w:p>
    <w:p w14:paraId="511A8023" w14:textId="4CB05A92" w:rsidR="00384E05" w:rsidRPr="00384E05" w:rsidRDefault="00384E05" w:rsidP="00384E05">
      <w:pPr>
        <w:widowControl/>
        <w:autoSpaceDE/>
        <w:autoSpaceDN/>
        <w:spacing w:before="0" w:after="160" w:line="259" w:lineRule="auto"/>
        <w:rPr>
          <w:i/>
        </w:rPr>
      </w:pPr>
      <w:r w:rsidRPr="00384E05">
        <w:rPr>
          <w:i/>
        </w:rPr>
        <w:t>[Optional language if Board elects to limit the administration of nonprescription medications to those approved by the federal Food and Drug Administration (FDA):</w:t>
      </w:r>
    </w:p>
    <w:p w14:paraId="4EEC7E2D" w14:textId="3F3B236E" w:rsidR="00384E05" w:rsidRPr="00384E05" w:rsidRDefault="00384E05" w:rsidP="00384E05">
      <w:pPr>
        <w:widowControl/>
        <w:numPr>
          <w:ilvl w:val="0"/>
          <w:numId w:val="18"/>
        </w:numPr>
        <w:autoSpaceDE/>
        <w:autoSpaceDN/>
        <w:spacing w:before="0" w:after="160" w:line="259" w:lineRule="auto"/>
      </w:pPr>
      <w:r w:rsidRPr="00384E05">
        <w:t>The nonprescription medication is a product that has been approved by the federal Food and Drug Administration (FDA).]</w:t>
      </w:r>
    </w:p>
    <w:p w14:paraId="6C20ECFD" w14:textId="222CC421" w:rsidR="00384E05" w:rsidRPr="00AB0194" w:rsidRDefault="00384E05" w:rsidP="00AB0194">
      <w:pPr>
        <w:pStyle w:val="Heading2"/>
      </w:pPr>
      <w:r w:rsidRPr="00AB0194">
        <w:t>Self-administration of medication for asthma, allergies, anaphylaxis, or other prescription medication</w:t>
      </w:r>
    </w:p>
    <w:p w14:paraId="463087D7" w14:textId="29220E41" w:rsidR="00384E05" w:rsidRPr="00AB0194" w:rsidRDefault="00384E05" w:rsidP="00384E05">
      <w:pPr>
        <w:widowControl/>
        <w:autoSpaceDE/>
        <w:autoSpaceDN/>
        <w:spacing w:before="0" w:after="160" w:line="259" w:lineRule="auto"/>
      </w:pPr>
      <w:r w:rsidRPr="00AB0194">
        <w:t xml:space="preserve">A student with asthma, a food allergy, other severe allergies, or a related life-threatening condition, or who is prescribed medication by a licensed health care practitioner may possess and self-administer medication to treat the student’s asthma, food or other allergy, anaphylaxis or related life-threatening condition, or other condition for which the medication is prescribed. Self-administration of such medication may occur during school hours, at school-sponsored activities, or while in transit to and from school or a school-sponsored activity. Student possession and self-administration of such medication must be in accordance with </w:t>
      </w:r>
      <w:r w:rsidR="00930619" w:rsidRPr="00AB0194">
        <w:t>1 CCR 301-68</w:t>
      </w:r>
      <w:r w:rsidRPr="00AB0194">
        <w:t>.</w:t>
      </w:r>
    </w:p>
    <w:p w14:paraId="563126AF" w14:textId="1A89ADE8" w:rsidR="00384E05" w:rsidRPr="00384E05" w:rsidRDefault="00384E05" w:rsidP="00384E05">
      <w:pPr>
        <w:widowControl/>
        <w:autoSpaceDE/>
        <w:autoSpaceDN/>
        <w:spacing w:before="0" w:after="160" w:line="259" w:lineRule="auto"/>
      </w:pPr>
      <w:r w:rsidRPr="00AB0194">
        <w:t>Authorization for a student to possess and self-administer medication to treat the student’s asthma, food or other allergy, anaphylaxis or other related life-threatening condition, or other condition for which the medication is prescribed may be limited or revoked by the school principal after consultation with the school nurse and the student’s parent/guardian if the student demonstrates an inability to responsibly possess and self-administer such medication.</w:t>
      </w:r>
    </w:p>
    <w:p w14:paraId="187A0681" w14:textId="2F835B42" w:rsidR="00384E05" w:rsidRPr="00384E05" w:rsidRDefault="00384E05" w:rsidP="00384E05">
      <w:pPr>
        <w:widowControl/>
        <w:autoSpaceDE/>
        <w:autoSpaceDN/>
        <w:spacing w:before="0" w:after="160" w:line="259" w:lineRule="auto"/>
        <w:rPr>
          <w:i/>
        </w:rPr>
      </w:pPr>
      <w:r w:rsidRPr="00384E05">
        <w:rPr>
          <w:i/>
        </w:rPr>
        <w:t xml:space="preserve">[Optional language if Board elects to stock epinephrine and allow </w:t>
      </w:r>
      <w:r w:rsidR="00A45470">
        <w:rPr>
          <w:i/>
        </w:rPr>
        <w:t>school</w:t>
      </w:r>
      <w:r w:rsidRPr="00384E05">
        <w:rPr>
          <w:i/>
        </w:rPr>
        <w:t xml:space="preserve"> staff to administer epinephrine to students in emergency situations:</w:t>
      </w:r>
    </w:p>
    <w:p w14:paraId="0242D596" w14:textId="77777777" w:rsidR="00384E05" w:rsidRPr="00384E05" w:rsidRDefault="00384E05" w:rsidP="00AB0194">
      <w:pPr>
        <w:pStyle w:val="Heading2"/>
      </w:pPr>
      <w:r w:rsidRPr="00384E05">
        <w:t>Use of stock epinephrine auto-injectors in emergency situations</w:t>
      </w:r>
    </w:p>
    <w:p w14:paraId="3A55BB44" w14:textId="167E3352" w:rsidR="00384E05" w:rsidRPr="00384E05" w:rsidRDefault="00384E05" w:rsidP="00384E05">
      <w:pPr>
        <w:widowControl/>
        <w:autoSpaceDE/>
        <w:autoSpaceDN/>
        <w:spacing w:before="0" w:after="160" w:line="259" w:lineRule="auto"/>
      </w:pPr>
      <w:r w:rsidRPr="00384E05">
        <w:t xml:space="preserve">The </w:t>
      </w:r>
      <w:r w:rsidR="00A45470">
        <w:t>school</w:t>
      </w:r>
      <w:r w:rsidRPr="00384E05">
        <w:t xml:space="preserve"> will have a stock supply of epinephrine auto-injectors for use in emergency anaphylaxis events that occur on school grounds. Any administration of a stock epinephrine auto-injector to a student by a </w:t>
      </w:r>
      <w:r w:rsidR="00A45470">
        <w:t xml:space="preserve">school </w:t>
      </w:r>
      <w:r w:rsidRPr="00384E05">
        <w:t>employee must be in accordance with applicable state law, including applicable State Board of Education rules.</w:t>
      </w:r>
    </w:p>
    <w:p w14:paraId="61DC1891" w14:textId="2EE14C0A" w:rsidR="00384E05" w:rsidRPr="00384E05" w:rsidRDefault="00384E05" w:rsidP="00384E05">
      <w:pPr>
        <w:widowControl/>
        <w:autoSpaceDE/>
        <w:autoSpaceDN/>
        <w:spacing w:before="0" w:after="160" w:line="259" w:lineRule="auto"/>
      </w:pPr>
      <w:r w:rsidRPr="00384E05">
        <w:t xml:space="preserve">The </w:t>
      </w:r>
      <w:r w:rsidR="00A45470">
        <w:t>school</w:t>
      </w:r>
      <w:r w:rsidRPr="00384E05">
        <w:t>'s stock supply of epinephrine auto-injectors is not intended to replace student-specific orders or medication provided by the student's parent/guardian to treat the student's asthma, food or</w:t>
      </w:r>
      <w:r>
        <w:t xml:space="preserve"> </w:t>
      </w:r>
      <w:r w:rsidRPr="00384E05">
        <w:t xml:space="preserve">other allergy, </w:t>
      </w:r>
      <w:proofErr w:type="gramStart"/>
      <w:r w:rsidRPr="00384E05">
        <w:t>anaphylaxis</w:t>
      </w:r>
      <w:proofErr w:type="gramEnd"/>
      <w:r w:rsidRPr="00384E05">
        <w:t xml:space="preserve"> or related life-threatening condition.]</w:t>
      </w:r>
    </w:p>
    <w:p w14:paraId="570C34A5" w14:textId="1D50FE07" w:rsidR="00384E05" w:rsidRPr="00384E05" w:rsidRDefault="00384E05" w:rsidP="00384E05">
      <w:pPr>
        <w:widowControl/>
        <w:autoSpaceDE/>
        <w:autoSpaceDN/>
        <w:spacing w:before="0" w:after="160" w:line="259" w:lineRule="auto"/>
        <w:rPr>
          <w:i/>
        </w:rPr>
      </w:pPr>
      <w:r w:rsidRPr="00384E05">
        <w:rPr>
          <w:i/>
        </w:rPr>
        <w:t>[Optional language if Board elects to stock "opiate antagonists" (</w:t>
      </w:r>
      <w:proofErr w:type="gramStart"/>
      <w:r w:rsidRPr="00384E05">
        <w:rPr>
          <w:i/>
        </w:rPr>
        <w:t>i.e.</w:t>
      </w:r>
      <w:proofErr w:type="gramEnd"/>
      <w:r w:rsidRPr="00384E05">
        <w:rPr>
          <w:i/>
        </w:rPr>
        <w:t xml:space="preserve"> naloxone) and allow </w:t>
      </w:r>
      <w:r w:rsidR="00A45470">
        <w:rPr>
          <w:i/>
        </w:rPr>
        <w:t>school</w:t>
      </w:r>
      <w:r w:rsidRPr="00384E05">
        <w:rPr>
          <w:i/>
        </w:rPr>
        <w:t xml:space="preserve"> staff to administer opiate antagonists to students, staff or others in emergency situations:</w:t>
      </w:r>
    </w:p>
    <w:p w14:paraId="3608BDE2" w14:textId="1C9E9703" w:rsidR="00384E05" w:rsidRPr="00384E05" w:rsidRDefault="00384E05" w:rsidP="00384E05">
      <w:pPr>
        <w:widowControl/>
        <w:autoSpaceDE/>
        <w:autoSpaceDN/>
        <w:spacing w:before="0" w:after="160" w:line="259" w:lineRule="auto"/>
      </w:pPr>
      <w:r w:rsidRPr="00384E05">
        <w:t xml:space="preserve">The </w:t>
      </w:r>
      <w:r w:rsidR="00A45470">
        <w:t>school</w:t>
      </w:r>
      <w:r w:rsidRPr="00384E05">
        <w:t xml:space="preserve"> will have a stock supply of opiate antagonists to assist a student who is at risk of experiencing an opiate-related drug overdose event. For purposes of this policy, </w:t>
      </w:r>
      <w:r w:rsidR="000222D7">
        <w:t>“</w:t>
      </w:r>
      <w:r w:rsidRPr="00384E05">
        <w:t>opiate antagonist</w:t>
      </w:r>
      <w:r w:rsidR="000222D7">
        <w:t>”</w:t>
      </w:r>
      <w:r w:rsidRPr="00384E05">
        <w:t xml:space="preserve"> means naloxone hydrochloride or any similarly acting drug that is not a controlled </w:t>
      </w:r>
      <w:r w:rsidRPr="00384E05">
        <w:lastRenderedPageBreak/>
        <w:t>substance and that is approved by the federal Food and Drug Administration (FDA) for the treatment of a drug overdose.</w:t>
      </w:r>
    </w:p>
    <w:p w14:paraId="4F036059" w14:textId="6D32498D" w:rsidR="00384E05" w:rsidRPr="00384E05" w:rsidRDefault="00384E05" w:rsidP="00384E05">
      <w:pPr>
        <w:widowControl/>
        <w:autoSpaceDE/>
        <w:autoSpaceDN/>
        <w:spacing w:before="0" w:after="160" w:line="259" w:lineRule="auto"/>
      </w:pPr>
      <w:r w:rsidRPr="00384E05">
        <w:t xml:space="preserve">The stock supply of opiate antagonists may also be used to assist a </w:t>
      </w:r>
      <w:r w:rsidR="00A45470">
        <w:t>school</w:t>
      </w:r>
      <w:r w:rsidRPr="00384E05">
        <w:t xml:space="preserve"> employee or any other person who is at risk of experiencing an opiate-related drug overdose event.</w:t>
      </w:r>
    </w:p>
    <w:p w14:paraId="01E36FA1" w14:textId="3D30FD19" w:rsidR="00384E05" w:rsidRPr="00384E05" w:rsidRDefault="00384E05" w:rsidP="00384E05">
      <w:pPr>
        <w:widowControl/>
        <w:autoSpaceDE/>
        <w:autoSpaceDN/>
        <w:spacing w:before="0" w:after="160" w:line="259" w:lineRule="auto"/>
      </w:pPr>
      <w:r w:rsidRPr="00384E05">
        <w:t xml:space="preserve">Administration of an opiate antagonist by a </w:t>
      </w:r>
      <w:r w:rsidR="00A45470">
        <w:t xml:space="preserve">school </w:t>
      </w:r>
      <w:r w:rsidRPr="00384E05">
        <w:t>employee to a student or any other person must be in accordance with applicable state law.]</w:t>
      </w:r>
    </w:p>
    <w:p w14:paraId="453A3F3F" w14:textId="77777777" w:rsidR="004C6A03" w:rsidRPr="00666C99" w:rsidRDefault="004C6A03" w:rsidP="004C6A03">
      <w:pPr>
        <w:spacing w:after="0"/>
        <w:rPr>
          <w:b/>
        </w:rPr>
      </w:pPr>
      <w:r w:rsidRPr="00666C99">
        <w:rPr>
          <w:b/>
        </w:rPr>
        <w:t>Adopted:  XXX, 20XX</w:t>
      </w:r>
    </w:p>
    <w:p w14:paraId="24D9BE5D" w14:textId="77777777" w:rsidR="00384E05" w:rsidRPr="00384E05" w:rsidRDefault="00384E05" w:rsidP="00384E05">
      <w:pPr>
        <w:widowControl/>
        <w:autoSpaceDE/>
        <w:autoSpaceDN/>
        <w:spacing w:before="0" w:after="160" w:line="259" w:lineRule="auto"/>
      </w:pPr>
    </w:p>
    <w:p w14:paraId="3D92756A" w14:textId="77777777" w:rsidR="00A45470" w:rsidRDefault="00384E05" w:rsidP="00384E05">
      <w:pPr>
        <w:widowControl/>
        <w:autoSpaceDE/>
        <w:autoSpaceDN/>
        <w:spacing w:before="0" w:after="160" w:line="259" w:lineRule="auto"/>
      </w:pPr>
      <w:r w:rsidRPr="00384E05">
        <w:t xml:space="preserve">LEGAL REFS.:  </w:t>
      </w:r>
    </w:p>
    <w:p w14:paraId="5C7C4AA7" w14:textId="77C17832" w:rsidR="00384E05" w:rsidRPr="00384E05" w:rsidRDefault="00384E05" w:rsidP="00384E05">
      <w:pPr>
        <w:widowControl/>
        <w:autoSpaceDE/>
        <w:autoSpaceDN/>
        <w:spacing w:before="0" w:after="160" w:line="259" w:lineRule="auto"/>
        <w:rPr>
          <w:i/>
        </w:rPr>
      </w:pPr>
      <w:r w:rsidRPr="00384E05">
        <w:t xml:space="preserve">C.R.S. </w:t>
      </w:r>
      <w:r w:rsidRPr="008003A4">
        <w:t>12-38-132</w:t>
      </w:r>
      <w:r w:rsidRPr="00384E05">
        <w:t xml:space="preserve"> </w:t>
      </w:r>
      <w:r w:rsidRPr="00384E05">
        <w:rPr>
          <w:i/>
        </w:rPr>
        <w:t>(delegation of nursing tasks)</w:t>
      </w:r>
    </w:p>
    <w:p w14:paraId="30DE7E6C" w14:textId="5F1C38C6" w:rsidR="00384E05" w:rsidRPr="00384E05" w:rsidRDefault="00384E05" w:rsidP="00384E05">
      <w:pPr>
        <w:widowControl/>
        <w:autoSpaceDE/>
        <w:autoSpaceDN/>
        <w:spacing w:before="0" w:after="160" w:line="259" w:lineRule="auto"/>
        <w:rPr>
          <w:i/>
        </w:rPr>
      </w:pPr>
      <w:r w:rsidRPr="00384E05">
        <w:t xml:space="preserve">C.R.S. </w:t>
      </w:r>
      <w:r w:rsidRPr="008003A4">
        <w:t>12-38-132.3</w:t>
      </w:r>
      <w:r w:rsidRPr="00384E05">
        <w:t xml:space="preserve"> </w:t>
      </w:r>
      <w:r w:rsidRPr="00384E05">
        <w:rPr>
          <w:i/>
        </w:rPr>
        <w:t>(school nurses - over-the-counter medication)</w:t>
      </w:r>
    </w:p>
    <w:p w14:paraId="6402A79A" w14:textId="18C2C7BA" w:rsidR="00384E05" w:rsidRPr="00384E05" w:rsidRDefault="00384E05" w:rsidP="00384E05">
      <w:pPr>
        <w:widowControl/>
        <w:autoSpaceDE/>
        <w:autoSpaceDN/>
        <w:spacing w:before="0" w:after="160" w:line="259" w:lineRule="auto"/>
        <w:rPr>
          <w:i/>
        </w:rPr>
      </w:pPr>
      <w:r w:rsidRPr="00384E05">
        <w:t xml:space="preserve">C.R.S. </w:t>
      </w:r>
      <w:r w:rsidRPr="008003A4">
        <w:t>22-1-119</w:t>
      </w:r>
      <w:r w:rsidRPr="00384E05">
        <w:t xml:space="preserve"> </w:t>
      </w:r>
      <w:r w:rsidRPr="00384E05">
        <w:rPr>
          <w:i/>
        </w:rPr>
        <w:t>(no liability for adverse drug reactions/side effects)</w:t>
      </w:r>
    </w:p>
    <w:p w14:paraId="65F34D12" w14:textId="5ACAF6EB" w:rsidR="00384E05" w:rsidRPr="00384E05" w:rsidRDefault="00384E05" w:rsidP="00384E05">
      <w:pPr>
        <w:widowControl/>
        <w:autoSpaceDE/>
        <w:autoSpaceDN/>
        <w:spacing w:before="0" w:after="160" w:line="259" w:lineRule="auto"/>
        <w:rPr>
          <w:i/>
        </w:rPr>
      </w:pPr>
      <w:r w:rsidRPr="00384E05">
        <w:t xml:space="preserve">C.R.S. </w:t>
      </w:r>
      <w:r w:rsidRPr="008003A4">
        <w:t>22-1-119.1</w:t>
      </w:r>
      <w:r w:rsidRPr="00384E05">
        <w:t xml:space="preserve"> </w:t>
      </w:r>
      <w:r w:rsidRPr="00384E05">
        <w:rPr>
          <w:i/>
        </w:rPr>
        <w:t>(Board may adopt policy to acquire a stock supply of opiate antagonists)</w:t>
      </w:r>
    </w:p>
    <w:p w14:paraId="6018AD00" w14:textId="14AE2680" w:rsidR="00384E05" w:rsidRPr="00384E05" w:rsidRDefault="00384E05" w:rsidP="00384E05">
      <w:pPr>
        <w:widowControl/>
        <w:autoSpaceDE/>
        <w:autoSpaceDN/>
        <w:spacing w:before="0" w:after="160" w:line="259" w:lineRule="auto"/>
        <w:rPr>
          <w:i/>
        </w:rPr>
      </w:pPr>
      <w:r w:rsidRPr="00384E05">
        <w:t xml:space="preserve">C.R.S. </w:t>
      </w:r>
      <w:r w:rsidRPr="008003A4">
        <w:t>22-1-119.3</w:t>
      </w:r>
      <w:r w:rsidRPr="00384E05">
        <w:t xml:space="preserve"> (3)(c), (d) </w:t>
      </w:r>
      <w:r w:rsidRPr="00384E05">
        <w:rPr>
          <w:i/>
        </w:rPr>
        <w:t>(no student possession or self-administration of medical marijuana, but schools must permit the student's primary caregiver to administer medical marijuana to the student on school grounds, on a school bus or at a school-sponsored event)</w:t>
      </w:r>
    </w:p>
    <w:p w14:paraId="16F57EF5" w14:textId="5CF658F6" w:rsidR="00384E05" w:rsidRPr="00384E05" w:rsidRDefault="00384E05" w:rsidP="00384E05">
      <w:pPr>
        <w:widowControl/>
        <w:autoSpaceDE/>
        <w:autoSpaceDN/>
        <w:spacing w:before="0" w:after="160" w:line="259" w:lineRule="auto"/>
        <w:rPr>
          <w:i/>
        </w:rPr>
      </w:pPr>
      <w:r w:rsidRPr="00384E05">
        <w:t xml:space="preserve">C.R.S. </w:t>
      </w:r>
      <w:r w:rsidRPr="008003A4">
        <w:t>22-1-119.5</w:t>
      </w:r>
      <w:r w:rsidRPr="00384E05">
        <w:t xml:space="preserve"> </w:t>
      </w:r>
      <w:r w:rsidRPr="00384E05">
        <w:rPr>
          <w:i/>
        </w:rPr>
        <w:t>(Colorado Schoolchildren's Asthma, Food Allergy, and Anaphylaxis Health Management Act)</w:t>
      </w:r>
    </w:p>
    <w:p w14:paraId="1C912272" w14:textId="6377817E" w:rsidR="00384E05" w:rsidRPr="00384E05" w:rsidRDefault="00384E05" w:rsidP="00384E05">
      <w:pPr>
        <w:widowControl/>
        <w:autoSpaceDE/>
        <w:autoSpaceDN/>
        <w:spacing w:before="0" w:after="160" w:line="259" w:lineRule="auto"/>
        <w:rPr>
          <w:i/>
        </w:rPr>
      </w:pPr>
      <w:r w:rsidRPr="00384E05">
        <w:t xml:space="preserve">C.R.S. </w:t>
      </w:r>
      <w:r w:rsidRPr="008003A4">
        <w:t>22-2-135</w:t>
      </w:r>
      <w:r w:rsidRPr="00384E05">
        <w:t xml:space="preserve"> </w:t>
      </w:r>
      <w:r w:rsidRPr="00384E05">
        <w:rPr>
          <w:i/>
        </w:rPr>
        <w:t>(Colorado School Children's Food Allergy and Anaphylaxis Management Act)</w:t>
      </w:r>
    </w:p>
    <w:p w14:paraId="57A67DFC" w14:textId="3D958FAC" w:rsidR="00384E05" w:rsidRPr="00384E05" w:rsidRDefault="00384E05" w:rsidP="00384E05">
      <w:pPr>
        <w:widowControl/>
        <w:autoSpaceDE/>
        <w:autoSpaceDN/>
        <w:spacing w:before="0" w:after="160" w:line="259" w:lineRule="auto"/>
        <w:rPr>
          <w:i/>
        </w:rPr>
      </w:pPr>
      <w:r w:rsidRPr="00384E05">
        <w:t xml:space="preserve">C.R.S. </w:t>
      </w:r>
      <w:r w:rsidRPr="008003A4">
        <w:t>24-10-101</w:t>
      </w:r>
      <w:r w:rsidRPr="00384E05">
        <w:t xml:space="preserve"> et seq. </w:t>
      </w:r>
      <w:r w:rsidRPr="00384E05">
        <w:rPr>
          <w:i/>
        </w:rPr>
        <w:t>(Colorado Governmental Immunity Act)</w:t>
      </w:r>
    </w:p>
    <w:p w14:paraId="7F0FF2A9" w14:textId="2AA52008" w:rsidR="00384E05" w:rsidRPr="00384E05" w:rsidRDefault="00384E05" w:rsidP="00384E05">
      <w:pPr>
        <w:widowControl/>
        <w:autoSpaceDE/>
        <w:autoSpaceDN/>
        <w:spacing w:before="0" w:after="160" w:line="259" w:lineRule="auto"/>
        <w:rPr>
          <w:i/>
        </w:rPr>
      </w:pPr>
      <w:r w:rsidRPr="00384E05">
        <w:t xml:space="preserve">1 CCR </w:t>
      </w:r>
      <w:r w:rsidRPr="008003A4">
        <w:t>301-68</w:t>
      </w:r>
      <w:r w:rsidRPr="00384E05">
        <w:t xml:space="preserve"> </w:t>
      </w:r>
      <w:r w:rsidRPr="00384E05">
        <w:rPr>
          <w:i/>
        </w:rPr>
        <w:t>(State Board of Education rules regarding student possession and administration of asthma, allergy and anaphylaxis management medications or other prescription medications)</w:t>
      </w:r>
    </w:p>
    <w:p w14:paraId="2A7F6543" w14:textId="0453B82F" w:rsidR="00BA66EA" w:rsidRDefault="00384E05" w:rsidP="00FE68BA">
      <w:pPr>
        <w:widowControl/>
        <w:autoSpaceDE/>
        <w:autoSpaceDN/>
        <w:spacing w:before="0" w:after="160" w:line="259" w:lineRule="auto"/>
        <w:rPr>
          <w:i/>
        </w:rPr>
      </w:pPr>
      <w:r w:rsidRPr="00384E05">
        <w:t xml:space="preserve">6 CCR </w:t>
      </w:r>
      <w:r w:rsidRPr="008003A4">
        <w:t>1010-6</w:t>
      </w:r>
      <w:r w:rsidRPr="00384E05">
        <w:t xml:space="preserve">, Rule 6.13 </w:t>
      </w:r>
      <w:r w:rsidRPr="00384E05">
        <w:rPr>
          <w:i/>
        </w:rPr>
        <w:t>(requirements for health services in schools</w:t>
      </w:r>
      <w:r w:rsidR="004C6A03">
        <w:rPr>
          <w:i/>
        </w:rPr>
        <w:t>)</w:t>
      </w:r>
    </w:p>
    <w:p w14:paraId="452474BB" w14:textId="77777777" w:rsidR="00FE68BA" w:rsidRPr="00FE68BA" w:rsidRDefault="00FE68BA" w:rsidP="00FE68BA">
      <w:pPr>
        <w:jc w:val="right"/>
      </w:pPr>
    </w:p>
    <w:sectPr w:rsidR="00FE68BA" w:rsidRPr="00FE68BA" w:rsidSect="00BA547C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ragon, Stephanie" w:date="2023-09-12T22:16:00Z" w:initials="SA">
    <w:p w14:paraId="6C33DEE7" w14:textId="77777777" w:rsidR="00AB0194" w:rsidRDefault="00142297" w:rsidP="00123B11">
      <w:pPr>
        <w:pStyle w:val="CommentText"/>
      </w:pPr>
      <w:r>
        <w:rPr>
          <w:rStyle w:val="CommentReference"/>
        </w:rPr>
        <w:annotationRef/>
      </w:r>
      <w:r w:rsidR="00AB0194">
        <w:t xml:space="preserve">Keep if school board has adopted policy on administration of medical marijuana. State law requires schools allow "primary caregivers" to administer medical marijuana to qualified students on school property, on a school bus or at a school-sponsored event. Schools can adopt a policy regarding who may act as a primary caregiver and establishing reasonable parameters upon the use of medical marijuana. State law also permits schools to adopt policies authorizing designated personnel to administer medical marijuana to qualified students.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33DE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4A0E702" w16cex:dateUtc="2023-09-13T0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33DEE7" w16cid:durableId="14A0E7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2506" w14:textId="77777777" w:rsidR="009D6F97" w:rsidRDefault="009D6F97" w:rsidP="00870157">
      <w:pPr>
        <w:spacing w:after="0"/>
      </w:pPr>
      <w:r>
        <w:separator/>
      </w:r>
    </w:p>
  </w:endnote>
  <w:endnote w:type="continuationSeparator" w:id="0">
    <w:p w14:paraId="58C17781" w14:textId="77777777" w:rsidR="009D6F97" w:rsidRDefault="009D6F97" w:rsidP="00870157">
      <w:pPr>
        <w:spacing w:after="0"/>
      </w:pPr>
      <w:r>
        <w:continuationSeparator/>
      </w:r>
    </w:p>
  </w:endnote>
  <w:endnote w:type="continuationNotice" w:id="1">
    <w:p w14:paraId="0E9E1FD4" w14:textId="77777777" w:rsidR="009D6F97" w:rsidRDefault="009D6F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9E63" w14:textId="5DF93892" w:rsidR="00520AFB" w:rsidRDefault="00520AFB" w:rsidP="00FE68B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3965" w14:textId="55360A03" w:rsidR="006D2327" w:rsidRDefault="006D2327">
    <w:pPr>
      <w:pStyle w:val="Footer"/>
      <w:jc w:val="right"/>
    </w:pPr>
  </w:p>
  <w:p w14:paraId="6F59735E" w14:textId="77777777" w:rsidR="006D2327" w:rsidRDefault="006D2327">
    <w:pPr>
      <w:pStyle w:val="Footer"/>
    </w:pPr>
  </w:p>
  <w:p w14:paraId="3469F97B" w14:textId="77777777" w:rsidR="00520AFB" w:rsidRDefault="00520A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2FFB" w14:textId="77777777" w:rsidR="009D6F97" w:rsidRDefault="009D6F97" w:rsidP="00870157">
      <w:pPr>
        <w:spacing w:after="0"/>
      </w:pPr>
      <w:r>
        <w:separator/>
      </w:r>
    </w:p>
  </w:footnote>
  <w:footnote w:type="continuationSeparator" w:id="0">
    <w:p w14:paraId="0DFEF09E" w14:textId="77777777" w:rsidR="009D6F97" w:rsidRDefault="009D6F97" w:rsidP="00870157">
      <w:pPr>
        <w:spacing w:after="0"/>
      </w:pPr>
      <w:r>
        <w:continuationSeparator/>
      </w:r>
    </w:p>
  </w:footnote>
  <w:footnote w:type="continuationNotice" w:id="1">
    <w:p w14:paraId="21647A08" w14:textId="77777777" w:rsidR="009D6F97" w:rsidRDefault="009D6F9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73FFF" w14:textId="7B452B51" w:rsidR="004F79C6" w:rsidRDefault="00AB0194">
    <w:pPr>
      <w:pStyle w:val="Header"/>
    </w:pPr>
    <w:r>
      <w:rPr>
        <w:noProof/>
      </w:rPr>
      <w:pict w14:anchorId="1BBEA1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047876" o:spid="_x0000_s8195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593D" w14:textId="7FD6E292" w:rsidR="00870157" w:rsidRPr="002641D0" w:rsidRDefault="00AB0194">
    <w:pPr>
      <w:pStyle w:val="Header"/>
      <w:rPr>
        <w:i/>
      </w:rPr>
    </w:pPr>
    <w:r>
      <w:rPr>
        <w:noProof/>
      </w:rPr>
      <w:pict w14:anchorId="4B9997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047877" o:spid="_x0000_s8196" type="#_x0000_t136" style="position:absolute;margin-left:0;margin-top:0;width:513.2pt;height:1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870157" w:rsidRPr="002641D0">
      <w:tab/>
    </w:r>
  </w:p>
  <w:p w14:paraId="0F8B02C9" w14:textId="77777777" w:rsidR="00520AFB" w:rsidRDefault="00520AF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9005" w14:textId="383210C9" w:rsidR="004F79C6" w:rsidRDefault="00AB0194">
    <w:pPr>
      <w:pStyle w:val="Header"/>
    </w:pPr>
    <w:r>
      <w:rPr>
        <w:noProof/>
      </w:rPr>
      <w:pict w14:anchorId="4C7B6B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047875" o:spid="_x0000_s8194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7783"/>
    <w:multiLevelType w:val="hybridMultilevel"/>
    <w:tmpl w:val="551ED3A8"/>
    <w:lvl w:ilvl="0" w:tplc="D58040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014F"/>
    <w:multiLevelType w:val="hybridMultilevel"/>
    <w:tmpl w:val="F80A42EE"/>
    <w:lvl w:ilvl="0" w:tplc="D58040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1552A"/>
    <w:multiLevelType w:val="hybridMultilevel"/>
    <w:tmpl w:val="EE20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0627E"/>
    <w:multiLevelType w:val="hybridMultilevel"/>
    <w:tmpl w:val="B332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633CD"/>
    <w:multiLevelType w:val="hybridMultilevel"/>
    <w:tmpl w:val="E0BC3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B52DE"/>
    <w:multiLevelType w:val="hybridMultilevel"/>
    <w:tmpl w:val="A9F8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763D0"/>
    <w:multiLevelType w:val="hybridMultilevel"/>
    <w:tmpl w:val="E772B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B28D8"/>
    <w:multiLevelType w:val="hybridMultilevel"/>
    <w:tmpl w:val="5376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B6E76"/>
    <w:multiLevelType w:val="hybridMultilevel"/>
    <w:tmpl w:val="5658F4DC"/>
    <w:lvl w:ilvl="0" w:tplc="A5C28324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841AB"/>
    <w:multiLevelType w:val="hybridMultilevel"/>
    <w:tmpl w:val="5AE44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62358"/>
    <w:multiLevelType w:val="hybridMultilevel"/>
    <w:tmpl w:val="59E04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D7BAE"/>
    <w:multiLevelType w:val="hybridMultilevel"/>
    <w:tmpl w:val="0E706324"/>
    <w:lvl w:ilvl="0" w:tplc="E38063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1367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5E4C0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A2ED57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E6E35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E9CA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67AB7A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BD83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14F74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031ECE"/>
    <w:multiLevelType w:val="hybridMultilevel"/>
    <w:tmpl w:val="96EC7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0077C"/>
    <w:multiLevelType w:val="hybridMultilevel"/>
    <w:tmpl w:val="0908D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34FE1"/>
    <w:multiLevelType w:val="hybridMultilevel"/>
    <w:tmpl w:val="70DAF1C0"/>
    <w:lvl w:ilvl="0" w:tplc="D4DA5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8DA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822D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4C2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ABA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1466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243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BE6E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1E9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5E398E"/>
    <w:multiLevelType w:val="hybridMultilevel"/>
    <w:tmpl w:val="7A0A7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15F2A"/>
    <w:multiLevelType w:val="hybridMultilevel"/>
    <w:tmpl w:val="1F80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90745"/>
    <w:multiLevelType w:val="hybridMultilevel"/>
    <w:tmpl w:val="26E231C8"/>
    <w:lvl w:ilvl="0" w:tplc="0FAA3A02">
      <w:start w:val="1"/>
      <w:numFmt w:val="decimal"/>
      <w:lvlText w:val="%1."/>
      <w:lvlJc w:val="left"/>
      <w:pPr>
        <w:ind w:left="480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BA42B08">
      <w:start w:val="1"/>
      <w:numFmt w:val="lowerLetter"/>
      <w:lvlText w:val="%2."/>
      <w:lvlJc w:val="left"/>
      <w:pPr>
        <w:ind w:left="699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EB2E262">
      <w:numFmt w:val="bullet"/>
      <w:lvlText w:val="•"/>
      <w:lvlJc w:val="left"/>
      <w:pPr>
        <w:ind w:left="1853" w:hanging="334"/>
      </w:pPr>
      <w:rPr>
        <w:rFonts w:hint="default"/>
        <w:lang w:val="en-US" w:eastAsia="en-US" w:bidi="ar-SA"/>
      </w:rPr>
    </w:lvl>
    <w:lvl w:ilvl="3" w:tplc="727A2AF4">
      <w:numFmt w:val="bullet"/>
      <w:lvlText w:val="•"/>
      <w:lvlJc w:val="left"/>
      <w:pPr>
        <w:ind w:left="3006" w:hanging="334"/>
      </w:pPr>
      <w:rPr>
        <w:rFonts w:hint="default"/>
        <w:lang w:val="en-US" w:eastAsia="en-US" w:bidi="ar-SA"/>
      </w:rPr>
    </w:lvl>
    <w:lvl w:ilvl="4" w:tplc="56EE8096">
      <w:numFmt w:val="bullet"/>
      <w:lvlText w:val="•"/>
      <w:lvlJc w:val="left"/>
      <w:pPr>
        <w:ind w:left="4160" w:hanging="334"/>
      </w:pPr>
      <w:rPr>
        <w:rFonts w:hint="default"/>
        <w:lang w:val="en-US" w:eastAsia="en-US" w:bidi="ar-SA"/>
      </w:rPr>
    </w:lvl>
    <w:lvl w:ilvl="5" w:tplc="9224F9F6">
      <w:numFmt w:val="bullet"/>
      <w:lvlText w:val="•"/>
      <w:lvlJc w:val="left"/>
      <w:pPr>
        <w:ind w:left="5313" w:hanging="334"/>
      </w:pPr>
      <w:rPr>
        <w:rFonts w:hint="default"/>
        <w:lang w:val="en-US" w:eastAsia="en-US" w:bidi="ar-SA"/>
      </w:rPr>
    </w:lvl>
    <w:lvl w:ilvl="6" w:tplc="EC6ED69E">
      <w:numFmt w:val="bullet"/>
      <w:lvlText w:val="•"/>
      <w:lvlJc w:val="left"/>
      <w:pPr>
        <w:ind w:left="6466" w:hanging="334"/>
      </w:pPr>
      <w:rPr>
        <w:rFonts w:hint="default"/>
        <w:lang w:val="en-US" w:eastAsia="en-US" w:bidi="ar-SA"/>
      </w:rPr>
    </w:lvl>
    <w:lvl w:ilvl="7" w:tplc="036A4F76">
      <w:numFmt w:val="bullet"/>
      <w:lvlText w:val="•"/>
      <w:lvlJc w:val="left"/>
      <w:pPr>
        <w:ind w:left="7620" w:hanging="334"/>
      </w:pPr>
      <w:rPr>
        <w:rFonts w:hint="default"/>
        <w:lang w:val="en-US" w:eastAsia="en-US" w:bidi="ar-SA"/>
      </w:rPr>
    </w:lvl>
    <w:lvl w:ilvl="8" w:tplc="BE1EFDDE">
      <w:numFmt w:val="bullet"/>
      <w:lvlText w:val="•"/>
      <w:lvlJc w:val="left"/>
      <w:pPr>
        <w:ind w:left="8773" w:hanging="334"/>
      </w:pPr>
      <w:rPr>
        <w:rFonts w:hint="default"/>
        <w:lang w:val="en-US" w:eastAsia="en-US" w:bidi="ar-SA"/>
      </w:rPr>
    </w:lvl>
  </w:abstractNum>
  <w:num w:numId="1" w16cid:durableId="734740391">
    <w:abstractNumId w:val="15"/>
  </w:num>
  <w:num w:numId="2" w16cid:durableId="1208496222">
    <w:abstractNumId w:val="8"/>
  </w:num>
  <w:num w:numId="3" w16cid:durableId="1519006187">
    <w:abstractNumId w:val="14"/>
  </w:num>
  <w:num w:numId="4" w16cid:durableId="1535265908">
    <w:abstractNumId w:val="2"/>
  </w:num>
  <w:num w:numId="5" w16cid:durableId="15694563">
    <w:abstractNumId w:val="10"/>
  </w:num>
  <w:num w:numId="6" w16cid:durableId="1456606077">
    <w:abstractNumId w:val="5"/>
  </w:num>
  <w:num w:numId="7" w16cid:durableId="425420720">
    <w:abstractNumId w:val="16"/>
  </w:num>
  <w:num w:numId="8" w16cid:durableId="1152258636">
    <w:abstractNumId w:val="6"/>
  </w:num>
  <w:num w:numId="9" w16cid:durableId="1044670312">
    <w:abstractNumId w:val="11"/>
  </w:num>
  <w:num w:numId="10" w16cid:durableId="1216428631">
    <w:abstractNumId w:val="7"/>
  </w:num>
  <w:num w:numId="11" w16cid:durableId="1340964341">
    <w:abstractNumId w:val="12"/>
  </w:num>
  <w:num w:numId="12" w16cid:durableId="1640649391">
    <w:abstractNumId w:val="3"/>
  </w:num>
  <w:num w:numId="13" w16cid:durableId="593637878">
    <w:abstractNumId w:val="0"/>
  </w:num>
  <w:num w:numId="14" w16cid:durableId="1163200646">
    <w:abstractNumId w:val="1"/>
  </w:num>
  <w:num w:numId="15" w16cid:durableId="1904755966">
    <w:abstractNumId w:val="9"/>
  </w:num>
  <w:num w:numId="16" w16cid:durableId="419104855">
    <w:abstractNumId w:val="4"/>
  </w:num>
  <w:num w:numId="17" w16cid:durableId="1413508197">
    <w:abstractNumId w:val="13"/>
  </w:num>
  <w:num w:numId="18" w16cid:durableId="194676380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gon, Stephanie">
    <w15:presenceInfo w15:providerId="AD" w15:userId="S::Aragon_s@cde.state.co.us::7d050a08-3ad0-4d4c-b62d-4304923995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7"/>
    <o:shapelayout v:ext="edit">
      <o:idmap v:ext="edit" data="8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D3"/>
    <w:rsid w:val="00012FE5"/>
    <w:rsid w:val="000222D7"/>
    <w:rsid w:val="00043336"/>
    <w:rsid w:val="00067CB4"/>
    <w:rsid w:val="00075891"/>
    <w:rsid w:val="000871A4"/>
    <w:rsid w:val="000F23C4"/>
    <w:rsid w:val="001033A8"/>
    <w:rsid w:val="0011461F"/>
    <w:rsid w:val="001241B5"/>
    <w:rsid w:val="00142297"/>
    <w:rsid w:val="001457D2"/>
    <w:rsid w:val="001461C4"/>
    <w:rsid w:val="00194DE6"/>
    <w:rsid w:val="001B4809"/>
    <w:rsid w:val="001C4EF3"/>
    <w:rsid w:val="00263C1D"/>
    <w:rsid w:val="002641D0"/>
    <w:rsid w:val="002B392F"/>
    <w:rsid w:val="002B5F4F"/>
    <w:rsid w:val="002D0353"/>
    <w:rsid w:val="002E1144"/>
    <w:rsid w:val="002E565C"/>
    <w:rsid w:val="002E6571"/>
    <w:rsid w:val="00341ACE"/>
    <w:rsid w:val="00352FDB"/>
    <w:rsid w:val="00384E05"/>
    <w:rsid w:val="003861E9"/>
    <w:rsid w:val="003B68BB"/>
    <w:rsid w:val="003E78C3"/>
    <w:rsid w:val="00454375"/>
    <w:rsid w:val="00460AB4"/>
    <w:rsid w:val="00462D68"/>
    <w:rsid w:val="00466354"/>
    <w:rsid w:val="004724E9"/>
    <w:rsid w:val="004C6A03"/>
    <w:rsid w:val="004D2593"/>
    <w:rsid w:val="004F6D54"/>
    <w:rsid w:val="004F79C6"/>
    <w:rsid w:val="00500EB9"/>
    <w:rsid w:val="005023B4"/>
    <w:rsid w:val="00505F55"/>
    <w:rsid w:val="00510F7B"/>
    <w:rsid w:val="00520AFB"/>
    <w:rsid w:val="00525682"/>
    <w:rsid w:val="005266C3"/>
    <w:rsid w:val="00543772"/>
    <w:rsid w:val="0054444D"/>
    <w:rsid w:val="005478A8"/>
    <w:rsid w:val="00551FDB"/>
    <w:rsid w:val="00552816"/>
    <w:rsid w:val="005D4293"/>
    <w:rsid w:val="005E7EE5"/>
    <w:rsid w:val="005F58C3"/>
    <w:rsid w:val="00603E4F"/>
    <w:rsid w:val="006044A0"/>
    <w:rsid w:val="00634D37"/>
    <w:rsid w:val="006C64D9"/>
    <w:rsid w:val="006D2327"/>
    <w:rsid w:val="006D70D6"/>
    <w:rsid w:val="006E3414"/>
    <w:rsid w:val="00750EFC"/>
    <w:rsid w:val="007645F5"/>
    <w:rsid w:val="007705A7"/>
    <w:rsid w:val="0079404B"/>
    <w:rsid w:val="00797D26"/>
    <w:rsid w:val="007A756B"/>
    <w:rsid w:val="007D1E95"/>
    <w:rsid w:val="008003A4"/>
    <w:rsid w:val="00807732"/>
    <w:rsid w:val="0083315F"/>
    <w:rsid w:val="00834BD5"/>
    <w:rsid w:val="00834DCD"/>
    <w:rsid w:val="008404BF"/>
    <w:rsid w:val="008500D7"/>
    <w:rsid w:val="00870157"/>
    <w:rsid w:val="00875525"/>
    <w:rsid w:val="008810E2"/>
    <w:rsid w:val="008C35A3"/>
    <w:rsid w:val="008D3C03"/>
    <w:rsid w:val="008E1E6A"/>
    <w:rsid w:val="008F4282"/>
    <w:rsid w:val="00917810"/>
    <w:rsid w:val="00917B91"/>
    <w:rsid w:val="00924D8A"/>
    <w:rsid w:val="00930619"/>
    <w:rsid w:val="00937546"/>
    <w:rsid w:val="00992A69"/>
    <w:rsid w:val="009A3D9A"/>
    <w:rsid w:val="009A58DE"/>
    <w:rsid w:val="009C1E54"/>
    <w:rsid w:val="009D1804"/>
    <w:rsid w:val="009D6F97"/>
    <w:rsid w:val="009E0EB3"/>
    <w:rsid w:val="00A01AA7"/>
    <w:rsid w:val="00A45470"/>
    <w:rsid w:val="00A54EB7"/>
    <w:rsid w:val="00A80524"/>
    <w:rsid w:val="00A81E55"/>
    <w:rsid w:val="00A930BA"/>
    <w:rsid w:val="00AA7A60"/>
    <w:rsid w:val="00AB0194"/>
    <w:rsid w:val="00AB1FF7"/>
    <w:rsid w:val="00AE2CB2"/>
    <w:rsid w:val="00B25DC3"/>
    <w:rsid w:val="00B44B73"/>
    <w:rsid w:val="00B834EB"/>
    <w:rsid w:val="00B94032"/>
    <w:rsid w:val="00BA547C"/>
    <w:rsid w:val="00BA5949"/>
    <w:rsid w:val="00BA66EA"/>
    <w:rsid w:val="00BE19DB"/>
    <w:rsid w:val="00BE421E"/>
    <w:rsid w:val="00BE4379"/>
    <w:rsid w:val="00BF0B70"/>
    <w:rsid w:val="00C05FD1"/>
    <w:rsid w:val="00C16E59"/>
    <w:rsid w:val="00C31FD3"/>
    <w:rsid w:val="00C47C36"/>
    <w:rsid w:val="00C57040"/>
    <w:rsid w:val="00CA5619"/>
    <w:rsid w:val="00CC3D6C"/>
    <w:rsid w:val="00CD6195"/>
    <w:rsid w:val="00CD65E9"/>
    <w:rsid w:val="00D0585F"/>
    <w:rsid w:val="00D074F5"/>
    <w:rsid w:val="00D15666"/>
    <w:rsid w:val="00D4722E"/>
    <w:rsid w:val="00D6075A"/>
    <w:rsid w:val="00E01926"/>
    <w:rsid w:val="00E12C51"/>
    <w:rsid w:val="00E27B3B"/>
    <w:rsid w:val="00E4302D"/>
    <w:rsid w:val="00E707FB"/>
    <w:rsid w:val="00E735EF"/>
    <w:rsid w:val="00E837A5"/>
    <w:rsid w:val="00E85D3C"/>
    <w:rsid w:val="00EB2F49"/>
    <w:rsid w:val="00EC23DB"/>
    <w:rsid w:val="00F044D7"/>
    <w:rsid w:val="00F4501F"/>
    <w:rsid w:val="00F85AC0"/>
    <w:rsid w:val="00F87F7D"/>
    <w:rsid w:val="00FA6481"/>
    <w:rsid w:val="00FB316B"/>
    <w:rsid w:val="00FE68BA"/>
    <w:rsid w:val="072C8A4F"/>
    <w:rsid w:val="09C85558"/>
    <w:rsid w:val="0F2F7CD8"/>
    <w:rsid w:val="1B6A522D"/>
    <w:rsid w:val="20210486"/>
    <w:rsid w:val="28321B13"/>
    <w:rsid w:val="35558887"/>
    <w:rsid w:val="3812DFCE"/>
    <w:rsid w:val="52A32A66"/>
    <w:rsid w:val="538606D5"/>
    <w:rsid w:val="582F8022"/>
    <w:rsid w:val="5E3526EE"/>
    <w:rsid w:val="65DF4F74"/>
    <w:rsid w:val="7C368850"/>
    <w:rsid w:val="7D3B8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."/>
  <w:listSeparator w:val=","/>
  <w14:docId w14:val="033C6F5C"/>
  <w15:chartTrackingRefBased/>
  <w15:docId w15:val="{3E8A7EAF-9A3F-47F3-A6D3-FBE44490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E4F"/>
    <w:pPr>
      <w:widowControl w:val="0"/>
      <w:autoSpaceDE w:val="0"/>
      <w:autoSpaceDN w:val="0"/>
      <w:spacing w:before="94" w:after="24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194"/>
    <w:pPr>
      <w:widowControl/>
      <w:autoSpaceDE/>
      <w:autoSpaceDN/>
      <w:spacing w:after="0"/>
      <w:jc w:val="center"/>
      <w:outlineLvl w:val="0"/>
    </w:pPr>
    <w:rPr>
      <w:noProof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194"/>
    <w:pPr>
      <w:widowControl/>
      <w:autoSpaceDE/>
      <w:autoSpaceDN/>
      <w:spacing w:before="0" w:after="160" w:line="259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E4F"/>
    <w:pPr>
      <w:keepNext/>
      <w:keepLines/>
      <w:numPr>
        <w:numId w:val="2"/>
      </w:numPr>
      <w:spacing w:before="40" w:after="0"/>
      <w:outlineLvl w:val="2"/>
    </w:pPr>
    <w:rPr>
      <w:rFonts w:eastAsiaTheme="majorEastAsia" w:cstheme="majorBidi"/>
      <w:b/>
      <w:color w:val="008CA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77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43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37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377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7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7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42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0EB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015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0157"/>
  </w:style>
  <w:style w:type="paragraph" w:styleId="Footer">
    <w:name w:val="footer"/>
    <w:basedOn w:val="Normal"/>
    <w:link w:val="FooterChar"/>
    <w:uiPriority w:val="99"/>
    <w:unhideWhenUsed/>
    <w:rsid w:val="0087015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0157"/>
  </w:style>
  <w:style w:type="character" w:styleId="UnresolvedMention">
    <w:name w:val="Unresolved Mention"/>
    <w:basedOn w:val="DefaultParagraphFont"/>
    <w:uiPriority w:val="99"/>
    <w:semiHidden/>
    <w:unhideWhenUsed/>
    <w:rsid w:val="0004333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375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B0194"/>
    <w:rPr>
      <w:rFonts w:ascii="Arial" w:eastAsia="Arial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03E4F"/>
    <w:rPr>
      <w:rFonts w:ascii="Arial" w:eastAsiaTheme="majorEastAsia" w:hAnsi="Arial" w:cstheme="majorBidi"/>
      <w:b/>
      <w:color w:val="008CA0"/>
      <w:sz w:val="24"/>
      <w:szCs w:val="24"/>
    </w:rPr>
  </w:style>
  <w:style w:type="paragraph" w:styleId="ListParagraph">
    <w:name w:val="List Paragraph"/>
    <w:basedOn w:val="Normal"/>
    <w:uiPriority w:val="34"/>
    <w:qFormat/>
    <w:rsid w:val="00603E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0194"/>
    <w:rPr>
      <w:rFonts w:ascii="Arial" w:eastAsia="Arial" w:hAnsi="Arial" w:cs="Arial"/>
      <w:noProof/>
    </w:rPr>
  </w:style>
  <w:style w:type="paragraph" w:styleId="BodyText">
    <w:name w:val="Body Text"/>
    <w:basedOn w:val="Normal"/>
    <w:link w:val="BodyTextChar"/>
    <w:uiPriority w:val="99"/>
    <w:semiHidden/>
    <w:unhideWhenUsed/>
    <w:rsid w:val="00384E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4E05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930619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state.co.us/healthandwellness/medicationadministrationguidelinesaugust2019pdf" TargetMode="Externa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http://go.boarddocs.com/co/csi/Board.nsf/goto?open&amp;id=CV5L2K530380" TargetMode="Externa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de.state.co.us/healthandwellness/medicationadministrationguidelinesaugust2019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go.boarddocs.com/co/csi/Board.nsf/goto?open&amp;id=CV5L2K530380" TargetMode="Externa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Kaplan</dc:creator>
  <cp:keywords/>
  <dc:description/>
  <cp:lastModifiedBy>Aragon, Stephanie</cp:lastModifiedBy>
  <cp:revision>17</cp:revision>
  <dcterms:created xsi:type="dcterms:W3CDTF">2023-09-12T22:02:00Z</dcterms:created>
  <dcterms:modified xsi:type="dcterms:W3CDTF">2023-09-26T16:25:00Z</dcterms:modified>
</cp:coreProperties>
</file>