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72429" w14:textId="0BCC5A4B" w:rsidR="000647A1" w:rsidRPr="00A75CE8" w:rsidRDefault="00F22B28" w:rsidP="000647A1">
      <w:pPr>
        <w:pStyle w:val="Title"/>
        <w:rPr>
          <w:sz w:val="40"/>
          <w:szCs w:val="52"/>
        </w:rPr>
      </w:pPr>
      <w:r>
        <w:rPr>
          <w:sz w:val="40"/>
          <w:szCs w:val="52"/>
        </w:rPr>
        <w:t>Multilingual Learners (MLs) Frequently Asked Questions</w:t>
      </w:r>
    </w:p>
    <w:p w14:paraId="5A33094B" w14:textId="77777777" w:rsidR="000647A1" w:rsidRDefault="000647A1" w:rsidP="000647A1"/>
    <w:p w14:paraId="72F85843" w14:textId="702E7406" w:rsidR="000647A1" w:rsidRDefault="003F6D52" w:rsidP="0037488E">
      <w:pPr>
        <w:pStyle w:val="Heading1"/>
        <w:rPr>
          <w:sz w:val="28"/>
          <w:szCs w:val="28"/>
        </w:rPr>
      </w:pPr>
      <w:r>
        <w:rPr>
          <w:sz w:val="28"/>
          <w:szCs w:val="28"/>
        </w:rPr>
        <w:t>What steps does the school need to take when a student that is potentially a Multilingual Learner enroll</w:t>
      </w:r>
      <w:r w:rsidR="00EB14C4">
        <w:rPr>
          <w:sz w:val="28"/>
          <w:szCs w:val="28"/>
        </w:rPr>
        <w:t>s?</w:t>
      </w:r>
    </w:p>
    <w:p w14:paraId="403FB298" w14:textId="4E9B2E17" w:rsidR="00BA52B3" w:rsidRDefault="006C6D4B" w:rsidP="00BA52B3">
      <w:hyperlink r:id="rId8" w:history="1">
        <w:r w:rsidR="00BA52B3" w:rsidRPr="006C6D4B">
          <w:rPr>
            <w:rStyle w:val="Hyperlink"/>
          </w:rPr>
          <w:t>CSI Standardized Identification Process</w:t>
        </w:r>
      </w:hyperlink>
    </w:p>
    <w:p w14:paraId="37188B86" w14:textId="0399CE29" w:rsidR="006C6D4B" w:rsidRPr="00BA52B3" w:rsidRDefault="006763B2" w:rsidP="00BA52B3">
      <w:hyperlink r:id="rId9" w:history="1">
        <w:r w:rsidR="006C6D4B" w:rsidRPr="006763B2">
          <w:rPr>
            <w:rStyle w:val="Hyperlink"/>
          </w:rPr>
          <w:t>CDE</w:t>
        </w:r>
        <w:r w:rsidRPr="006763B2">
          <w:rPr>
            <w:rStyle w:val="Hyperlink"/>
          </w:rPr>
          <w:t xml:space="preserve"> Identification &amp; Placement Site</w:t>
        </w:r>
      </w:hyperlink>
    </w:p>
    <w:p w14:paraId="63AC5D80" w14:textId="44D908AE" w:rsidR="00A53E21" w:rsidRPr="00A53E21" w:rsidRDefault="00A53E21" w:rsidP="00A53E21">
      <w:pPr>
        <w:pStyle w:val="ListParagraph"/>
        <w:widowControl w:val="0"/>
        <w:numPr>
          <w:ilvl w:val="0"/>
          <w:numId w:val="1"/>
        </w:numPr>
        <w:tabs>
          <w:tab w:val="left" w:pos="2159"/>
        </w:tabs>
        <w:autoSpaceDE w:val="0"/>
        <w:autoSpaceDN w:val="0"/>
        <w:spacing w:after="0" w:line="240" w:lineRule="auto"/>
        <w:ind w:right="1565"/>
        <w:contextualSpacing w:val="0"/>
      </w:pPr>
      <w:r>
        <w:rPr>
          <w:color w:val="050505"/>
        </w:rPr>
        <w:t xml:space="preserve">Every student’s family (not just those suspected of being </w:t>
      </w:r>
      <w:r>
        <w:rPr>
          <w:color w:val="050505"/>
        </w:rPr>
        <w:t>M</w:t>
      </w:r>
      <w:r>
        <w:rPr>
          <w:color w:val="050505"/>
        </w:rPr>
        <w:t xml:space="preserve">Ls) </w:t>
      </w:r>
      <w:r w:rsidR="009F4F33">
        <w:rPr>
          <w:color w:val="050505"/>
        </w:rPr>
        <w:t>must</w:t>
      </w:r>
      <w:r>
        <w:rPr>
          <w:color w:val="050505"/>
        </w:rPr>
        <w:t xml:space="preserve"> </w:t>
      </w:r>
      <w:r w:rsidR="00CD42DB">
        <w:rPr>
          <w:color w:val="050505"/>
        </w:rPr>
        <w:t>fill out</w:t>
      </w:r>
      <w:r>
        <w:rPr>
          <w:color w:val="050505"/>
        </w:rPr>
        <w:t xml:space="preserve"> a </w:t>
      </w:r>
      <w:r>
        <w:rPr>
          <w:b/>
          <w:color w:val="050505"/>
        </w:rPr>
        <w:t>Home Language</w:t>
      </w:r>
      <w:r>
        <w:rPr>
          <w:b/>
          <w:color w:val="050505"/>
          <w:spacing w:val="-2"/>
        </w:rPr>
        <w:t xml:space="preserve"> </w:t>
      </w:r>
      <w:r>
        <w:rPr>
          <w:b/>
          <w:color w:val="050505"/>
        </w:rPr>
        <w:t>Survey</w:t>
      </w:r>
      <w:r>
        <w:rPr>
          <w:b/>
          <w:color w:val="050505"/>
        </w:rPr>
        <w:t xml:space="preserve"> (HLS)</w:t>
      </w:r>
      <w:r>
        <w:rPr>
          <w:b/>
          <w:color w:val="050505"/>
          <w:spacing w:val="-3"/>
        </w:rPr>
        <w:t xml:space="preserve"> </w:t>
      </w:r>
      <w:r>
        <w:rPr>
          <w:color w:val="050505"/>
        </w:rPr>
        <w:t>at</w:t>
      </w:r>
      <w:r>
        <w:rPr>
          <w:color w:val="050505"/>
          <w:spacing w:val="-3"/>
        </w:rPr>
        <w:t xml:space="preserve"> </w:t>
      </w:r>
      <w:r>
        <w:rPr>
          <w:color w:val="050505"/>
        </w:rPr>
        <w:t>the</w:t>
      </w:r>
      <w:r>
        <w:rPr>
          <w:color w:val="050505"/>
          <w:spacing w:val="-4"/>
        </w:rPr>
        <w:t xml:space="preserve"> </w:t>
      </w:r>
      <w:r>
        <w:rPr>
          <w:color w:val="050505"/>
        </w:rPr>
        <w:t>time</w:t>
      </w:r>
      <w:r>
        <w:rPr>
          <w:color w:val="050505"/>
          <w:spacing w:val="-3"/>
        </w:rPr>
        <w:t xml:space="preserve"> </w:t>
      </w:r>
      <w:r>
        <w:rPr>
          <w:color w:val="050505"/>
        </w:rPr>
        <w:t>of</w:t>
      </w:r>
      <w:r>
        <w:rPr>
          <w:color w:val="050505"/>
          <w:spacing w:val="-3"/>
        </w:rPr>
        <w:t xml:space="preserve"> </w:t>
      </w:r>
      <w:r>
        <w:rPr>
          <w:color w:val="050505"/>
        </w:rPr>
        <w:t>enrollment.</w:t>
      </w:r>
      <w:r>
        <w:rPr>
          <w:color w:val="050505"/>
          <w:spacing w:val="-3"/>
        </w:rPr>
        <w:t xml:space="preserve"> </w:t>
      </w:r>
      <w:r>
        <w:rPr>
          <w:color w:val="050505"/>
        </w:rPr>
        <w:t>The</w:t>
      </w:r>
      <w:r>
        <w:rPr>
          <w:color w:val="050505"/>
          <w:spacing w:val="-3"/>
        </w:rPr>
        <w:t xml:space="preserve"> </w:t>
      </w:r>
      <w:r>
        <w:rPr>
          <w:color w:val="050505"/>
        </w:rPr>
        <w:t>Office</w:t>
      </w:r>
      <w:r>
        <w:rPr>
          <w:color w:val="050505"/>
          <w:spacing w:val="-3"/>
        </w:rPr>
        <w:t xml:space="preserve"> </w:t>
      </w:r>
      <w:r>
        <w:rPr>
          <w:color w:val="050505"/>
        </w:rPr>
        <w:t>for</w:t>
      </w:r>
      <w:r>
        <w:rPr>
          <w:color w:val="050505"/>
          <w:spacing w:val="-3"/>
        </w:rPr>
        <w:t xml:space="preserve"> </w:t>
      </w:r>
      <w:r>
        <w:rPr>
          <w:color w:val="050505"/>
        </w:rPr>
        <w:t>Civil</w:t>
      </w:r>
      <w:r>
        <w:rPr>
          <w:color w:val="050505"/>
          <w:spacing w:val="-3"/>
        </w:rPr>
        <w:t xml:space="preserve"> </w:t>
      </w:r>
      <w:r>
        <w:rPr>
          <w:color w:val="050505"/>
        </w:rPr>
        <w:t>Rights</w:t>
      </w:r>
      <w:r>
        <w:rPr>
          <w:color w:val="050505"/>
          <w:spacing w:val="-3"/>
        </w:rPr>
        <w:t xml:space="preserve"> </w:t>
      </w:r>
      <w:r>
        <w:rPr>
          <w:color w:val="050505"/>
        </w:rPr>
        <w:t>(OCR)</w:t>
      </w:r>
      <w:r>
        <w:rPr>
          <w:color w:val="050505"/>
          <w:spacing w:val="-3"/>
        </w:rPr>
        <w:t xml:space="preserve"> </w:t>
      </w:r>
      <w:r>
        <w:rPr>
          <w:color w:val="050505"/>
        </w:rPr>
        <w:t xml:space="preserve">suggests that the Home Language Survey (HLS) contain, at a minimum, the following three </w:t>
      </w:r>
      <w:r>
        <w:rPr>
          <w:color w:val="050505"/>
          <w:spacing w:val="-2"/>
        </w:rPr>
        <w:t>questions:</w:t>
      </w:r>
    </w:p>
    <w:p w14:paraId="62903EF6" w14:textId="205FD83B" w:rsidR="00A53E21" w:rsidRPr="009C1CB9" w:rsidRDefault="009C1CB9" w:rsidP="00A53E21">
      <w:pPr>
        <w:pStyle w:val="ListParagraph"/>
        <w:widowControl w:val="0"/>
        <w:numPr>
          <w:ilvl w:val="1"/>
          <w:numId w:val="1"/>
        </w:numPr>
        <w:tabs>
          <w:tab w:val="left" w:pos="2159"/>
        </w:tabs>
        <w:autoSpaceDE w:val="0"/>
        <w:autoSpaceDN w:val="0"/>
        <w:spacing w:after="0" w:line="240" w:lineRule="auto"/>
        <w:ind w:right="1565"/>
        <w:contextualSpacing w:val="0"/>
      </w:pPr>
      <w:r>
        <w:rPr>
          <w:color w:val="050505"/>
          <w:spacing w:val="-2"/>
        </w:rPr>
        <w:t>What is the primary home language used in the home, regardless of the language spoken by the student?</w:t>
      </w:r>
    </w:p>
    <w:p w14:paraId="7F5BFB15" w14:textId="6ACA3B1B" w:rsidR="009C1CB9" w:rsidRPr="009C1CB9" w:rsidRDefault="009C1CB9" w:rsidP="00A53E21">
      <w:pPr>
        <w:pStyle w:val="ListParagraph"/>
        <w:widowControl w:val="0"/>
        <w:numPr>
          <w:ilvl w:val="1"/>
          <w:numId w:val="1"/>
        </w:numPr>
        <w:tabs>
          <w:tab w:val="left" w:pos="2159"/>
        </w:tabs>
        <w:autoSpaceDE w:val="0"/>
        <w:autoSpaceDN w:val="0"/>
        <w:spacing w:after="0" w:line="240" w:lineRule="auto"/>
        <w:ind w:right="1565"/>
        <w:contextualSpacing w:val="0"/>
      </w:pPr>
      <w:r>
        <w:rPr>
          <w:color w:val="050505"/>
          <w:spacing w:val="-2"/>
        </w:rPr>
        <w:t>What is the language most often spoken by the student?</w:t>
      </w:r>
    </w:p>
    <w:p w14:paraId="23161726" w14:textId="0FEBDD9E" w:rsidR="009C1CB9" w:rsidRDefault="009C1CB9" w:rsidP="00A53E21">
      <w:pPr>
        <w:pStyle w:val="ListParagraph"/>
        <w:widowControl w:val="0"/>
        <w:numPr>
          <w:ilvl w:val="1"/>
          <w:numId w:val="1"/>
        </w:numPr>
        <w:tabs>
          <w:tab w:val="left" w:pos="2159"/>
        </w:tabs>
        <w:autoSpaceDE w:val="0"/>
        <w:autoSpaceDN w:val="0"/>
        <w:spacing w:after="0" w:line="240" w:lineRule="auto"/>
        <w:ind w:right="1565"/>
        <w:contextualSpacing w:val="0"/>
      </w:pPr>
      <w:r>
        <w:rPr>
          <w:color w:val="050505"/>
          <w:spacing w:val="-2"/>
        </w:rPr>
        <w:t>What is the language that the student first acquired?</w:t>
      </w:r>
    </w:p>
    <w:p w14:paraId="3EF125E6" w14:textId="49640A55" w:rsidR="00CD42DB" w:rsidRDefault="00CD42DB" w:rsidP="00CD42DB">
      <w:pPr>
        <w:pStyle w:val="ListParagraph"/>
        <w:widowControl w:val="0"/>
        <w:numPr>
          <w:ilvl w:val="0"/>
          <w:numId w:val="1"/>
        </w:numPr>
        <w:tabs>
          <w:tab w:val="left" w:pos="2159"/>
        </w:tabs>
        <w:autoSpaceDE w:val="0"/>
        <w:autoSpaceDN w:val="0"/>
        <w:spacing w:after="0" w:line="240" w:lineRule="auto"/>
        <w:ind w:right="1557"/>
        <w:contextualSpacing w:val="0"/>
      </w:pPr>
      <w:r>
        <w:rPr>
          <w:color w:val="050505"/>
        </w:rPr>
        <w:t>The Home Language Survey determines if there is a language influence</w:t>
      </w:r>
      <w:r>
        <w:rPr>
          <w:color w:val="050505"/>
        </w:rPr>
        <w:t xml:space="preserve"> </w:t>
      </w:r>
      <w:r>
        <w:rPr>
          <w:color w:val="050505"/>
        </w:rPr>
        <w:t>other than English. If the school confirms there is a language influence other than English that is impacting</w:t>
      </w:r>
      <w:r>
        <w:rPr>
          <w:color w:val="050505"/>
          <w:spacing w:val="-3"/>
        </w:rPr>
        <w:t xml:space="preserve"> </w:t>
      </w:r>
      <w:r>
        <w:rPr>
          <w:color w:val="050505"/>
        </w:rPr>
        <w:t>a</w:t>
      </w:r>
      <w:r>
        <w:rPr>
          <w:color w:val="050505"/>
          <w:spacing w:val="-4"/>
        </w:rPr>
        <w:t xml:space="preserve"> </w:t>
      </w:r>
      <w:r>
        <w:rPr>
          <w:color w:val="050505"/>
        </w:rPr>
        <w:t>student’s</w:t>
      </w:r>
      <w:r>
        <w:rPr>
          <w:color w:val="050505"/>
          <w:spacing w:val="-4"/>
        </w:rPr>
        <w:t xml:space="preserve"> </w:t>
      </w:r>
      <w:r>
        <w:rPr>
          <w:color w:val="050505"/>
        </w:rPr>
        <w:t>level</w:t>
      </w:r>
      <w:r>
        <w:rPr>
          <w:color w:val="050505"/>
          <w:spacing w:val="-3"/>
        </w:rPr>
        <w:t xml:space="preserve"> </w:t>
      </w:r>
      <w:r>
        <w:rPr>
          <w:color w:val="050505"/>
        </w:rPr>
        <w:t>of</w:t>
      </w:r>
      <w:r>
        <w:rPr>
          <w:color w:val="050505"/>
          <w:spacing w:val="-3"/>
        </w:rPr>
        <w:t xml:space="preserve"> </w:t>
      </w:r>
      <w:r>
        <w:rPr>
          <w:color w:val="050505"/>
        </w:rPr>
        <w:t>English</w:t>
      </w:r>
      <w:r>
        <w:rPr>
          <w:color w:val="050505"/>
          <w:spacing w:val="-4"/>
        </w:rPr>
        <w:t xml:space="preserve"> </w:t>
      </w:r>
      <w:r>
        <w:rPr>
          <w:color w:val="050505"/>
        </w:rPr>
        <w:t>proficiency,</w:t>
      </w:r>
      <w:r>
        <w:rPr>
          <w:color w:val="050505"/>
          <w:spacing w:val="-4"/>
        </w:rPr>
        <w:t xml:space="preserve"> </w:t>
      </w:r>
      <w:r>
        <w:rPr>
          <w:color w:val="050505"/>
        </w:rPr>
        <w:t>the</w:t>
      </w:r>
      <w:r>
        <w:rPr>
          <w:color w:val="050505"/>
          <w:spacing w:val="-3"/>
        </w:rPr>
        <w:t xml:space="preserve"> </w:t>
      </w:r>
      <w:r>
        <w:rPr>
          <w:color w:val="050505"/>
        </w:rPr>
        <w:t>student</w:t>
      </w:r>
      <w:r>
        <w:rPr>
          <w:color w:val="050505"/>
          <w:spacing w:val="-4"/>
        </w:rPr>
        <w:t xml:space="preserve"> </w:t>
      </w:r>
      <w:r>
        <w:rPr>
          <w:color w:val="050505"/>
        </w:rPr>
        <w:t>should</w:t>
      </w:r>
      <w:r>
        <w:rPr>
          <w:color w:val="050505"/>
          <w:spacing w:val="-3"/>
        </w:rPr>
        <w:t xml:space="preserve"> </w:t>
      </w:r>
      <w:r>
        <w:rPr>
          <w:color w:val="050505"/>
        </w:rPr>
        <w:t>be</w:t>
      </w:r>
      <w:r>
        <w:rPr>
          <w:color w:val="050505"/>
          <w:spacing w:val="-3"/>
        </w:rPr>
        <w:t xml:space="preserve"> </w:t>
      </w:r>
      <w:r>
        <w:rPr>
          <w:color w:val="050505"/>
        </w:rPr>
        <w:t>assessed</w:t>
      </w:r>
      <w:r>
        <w:rPr>
          <w:color w:val="050505"/>
          <w:spacing w:val="-4"/>
        </w:rPr>
        <w:t xml:space="preserve"> </w:t>
      </w:r>
      <w:r>
        <w:rPr>
          <w:color w:val="050505"/>
        </w:rPr>
        <w:t>using a placement test.</w:t>
      </w:r>
    </w:p>
    <w:p w14:paraId="6A411097" w14:textId="5D1F31D9" w:rsidR="00EB14C4" w:rsidRDefault="00363D75" w:rsidP="00363D75">
      <w:pPr>
        <w:pStyle w:val="ListParagraph"/>
        <w:numPr>
          <w:ilvl w:val="1"/>
          <w:numId w:val="1"/>
        </w:numPr>
      </w:pPr>
      <w:r>
        <w:t>Kindergarten first semester – Administer Listening and Speaking</w:t>
      </w:r>
      <w:r w:rsidR="002B16B5">
        <w:t>.</w:t>
      </w:r>
    </w:p>
    <w:p w14:paraId="65929920" w14:textId="328CC2F0" w:rsidR="00363D75" w:rsidRDefault="00363D75" w:rsidP="00363D75">
      <w:pPr>
        <w:pStyle w:val="ListParagraph"/>
        <w:numPr>
          <w:ilvl w:val="1"/>
          <w:numId w:val="1"/>
        </w:numPr>
      </w:pPr>
      <w:r>
        <w:t>Kindergarten second semester</w:t>
      </w:r>
      <w:r w:rsidR="002B16B5">
        <w:t xml:space="preserve"> – Administer all four domains.</w:t>
      </w:r>
    </w:p>
    <w:p w14:paraId="6E9C91EF" w14:textId="77777777" w:rsidR="00F06271" w:rsidRDefault="00F06271" w:rsidP="00F06271">
      <w:pPr>
        <w:pStyle w:val="ListParagraph"/>
        <w:widowControl w:val="0"/>
        <w:numPr>
          <w:ilvl w:val="0"/>
          <w:numId w:val="1"/>
        </w:numPr>
        <w:tabs>
          <w:tab w:val="left" w:pos="2159"/>
        </w:tabs>
        <w:autoSpaceDE w:val="0"/>
        <w:autoSpaceDN w:val="0"/>
        <w:spacing w:after="0" w:line="269" w:lineRule="exact"/>
        <w:contextualSpacing w:val="0"/>
      </w:pPr>
      <w:r>
        <w:rPr>
          <w:color w:val="050505"/>
        </w:rPr>
        <w:t>Placement</w:t>
      </w:r>
      <w:r>
        <w:rPr>
          <w:color w:val="050505"/>
          <w:spacing w:val="-5"/>
        </w:rPr>
        <w:t xml:space="preserve"> </w:t>
      </w:r>
      <w:r>
        <w:rPr>
          <w:color w:val="050505"/>
        </w:rPr>
        <w:t>testing</w:t>
      </w:r>
      <w:r>
        <w:rPr>
          <w:color w:val="050505"/>
          <w:spacing w:val="-5"/>
        </w:rPr>
        <w:t xml:space="preserve"> </w:t>
      </w:r>
      <w:r>
        <w:rPr>
          <w:color w:val="050505"/>
        </w:rPr>
        <w:t>must</w:t>
      </w:r>
      <w:r>
        <w:rPr>
          <w:color w:val="050505"/>
          <w:spacing w:val="-7"/>
        </w:rPr>
        <w:t xml:space="preserve"> </w:t>
      </w:r>
      <w:r>
        <w:rPr>
          <w:color w:val="050505"/>
        </w:rPr>
        <w:t>be</w:t>
      </w:r>
      <w:r>
        <w:rPr>
          <w:color w:val="050505"/>
          <w:spacing w:val="-5"/>
        </w:rPr>
        <w:t xml:space="preserve"> </w:t>
      </w:r>
      <w:r>
        <w:rPr>
          <w:color w:val="050505"/>
        </w:rPr>
        <w:t>conducted</w:t>
      </w:r>
      <w:r>
        <w:rPr>
          <w:color w:val="050505"/>
          <w:spacing w:val="-5"/>
        </w:rPr>
        <w:t xml:space="preserve"> </w:t>
      </w:r>
      <w:r>
        <w:rPr>
          <w:color w:val="050505"/>
        </w:rPr>
        <w:t>within</w:t>
      </w:r>
      <w:r>
        <w:rPr>
          <w:color w:val="050505"/>
          <w:spacing w:val="-4"/>
        </w:rPr>
        <w:t xml:space="preserve"> </w:t>
      </w:r>
      <w:r>
        <w:rPr>
          <w:color w:val="050505"/>
        </w:rPr>
        <w:t>30</w:t>
      </w:r>
      <w:r>
        <w:rPr>
          <w:color w:val="050505"/>
          <w:spacing w:val="-6"/>
        </w:rPr>
        <w:t xml:space="preserve"> </w:t>
      </w:r>
      <w:r>
        <w:rPr>
          <w:color w:val="050505"/>
        </w:rPr>
        <w:t>days</w:t>
      </w:r>
      <w:r>
        <w:rPr>
          <w:color w:val="050505"/>
          <w:spacing w:val="-3"/>
        </w:rPr>
        <w:t xml:space="preserve"> </w:t>
      </w:r>
      <w:r>
        <w:rPr>
          <w:color w:val="050505"/>
        </w:rPr>
        <w:t>of</w:t>
      </w:r>
      <w:r>
        <w:rPr>
          <w:color w:val="050505"/>
          <w:spacing w:val="-5"/>
        </w:rPr>
        <w:t xml:space="preserve"> </w:t>
      </w:r>
      <w:r>
        <w:rPr>
          <w:color w:val="050505"/>
        </w:rPr>
        <w:t>a</w:t>
      </w:r>
      <w:r>
        <w:rPr>
          <w:color w:val="050505"/>
          <w:spacing w:val="-5"/>
        </w:rPr>
        <w:t xml:space="preserve"> </w:t>
      </w:r>
      <w:r>
        <w:rPr>
          <w:color w:val="050505"/>
        </w:rPr>
        <w:t>student’s</w:t>
      </w:r>
      <w:r>
        <w:rPr>
          <w:color w:val="050505"/>
          <w:spacing w:val="-5"/>
        </w:rPr>
        <w:t xml:space="preserve"> </w:t>
      </w:r>
      <w:r>
        <w:rPr>
          <w:color w:val="050505"/>
        </w:rPr>
        <w:t>first</w:t>
      </w:r>
      <w:r>
        <w:rPr>
          <w:color w:val="050505"/>
          <w:spacing w:val="-6"/>
        </w:rPr>
        <w:t xml:space="preserve"> </w:t>
      </w:r>
      <w:r>
        <w:rPr>
          <w:color w:val="050505"/>
        </w:rPr>
        <w:t>day</w:t>
      </w:r>
      <w:r>
        <w:rPr>
          <w:color w:val="050505"/>
          <w:spacing w:val="-4"/>
        </w:rPr>
        <w:t xml:space="preserve"> </w:t>
      </w:r>
      <w:r>
        <w:rPr>
          <w:color w:val="050505"/>
        </w:rPr>
        <w:t>of</w:t>
      </w:r>
      <w:r>
        <w:rPr>
          <w:color w:val="050505"/>
          <w:spacing w:val="-5"/>
        </w:rPr>
        <w:t xml:space="preserve"> </w:t>
      </w:r>
      <w:r>
        <w:rPr>
          <w:color w:val="050505"/>
          <w:spacing w:val="-2"/>
        </w:rPr>
        <w:t>school.</w:t>
      </w:r>
    </w:p>
    <w:p w14:paraId="6EFCFFE8" w14:textId="77777777" w:rsidR="00B91A22" w:rsidRDefault="00B91A22" w:rsidP="00B91A22">
      <w:pPr>
        <w:pStyle w:val="ListParagraph"/>
        <w:widowControl w:val="0"/>
        <w:numPr>
          <w:ilvl w:val="0"/>
          <w:numId w:val="1"/>
        </w:numPr>
        <w:tabs>
          <w:tab w:val="left" w:pos="2159"/>
        </w:tabs>
        <w:autoSpaceDE w:val="0"/>
        <w:autoSpaceDN w:val="0"/>
        <w:spacing w:after="0" w:line="240" w:lineRule="auto"/>
        <w:ind w:right="1747"/>
        <w:contextualSpacing w:val="0"/>
      </w:pPr>
      <w:r>
        <w:rPr>
          <w:color w:val="050505"/>
        </w:rPr>
        <w:t>Based</w:t>
      </w:r>
      <w:r>
        <w:rPr>
          <w:color w:val="050505"/>
          <w:spacing w:val="-3"/>
        </w:rPr>
        <w:t xml:space="preserve"> </w:t>
      </w:r>
      <w:r>
        <w:rPr>
          <w:color w:val="050505"/>
        </w:rPr>
        <w:t>on</w:t>
      </w:r>
      <w:r>
        <w:rPr>
          <w:color w:val="050505"/>
          <w:spacing w:val="-3"/>
        </w:rPr>
        <w:t xml:space="preserve"> </w:t>
      </w:r>
      <w:r>
        <w:rPr>
          <w:color w:val="050505"/>
        </w:rPr>
        <w:t>the</w:t>
      </w:r>
      <w:r>
        <w:rPr>
          <w:color w:val="050505"/>
          <w:spacing w:val="-3"/>
        </w:rPr>
        <w:t xml:space="preserve"> </w:t>
      </w:r>
      <w:r>
        <w:rPr>
          <w:color w:val="050505"/>
        </w:rPr>
        <w:t>results</w:t>
      </w:r>
      <w:r>
        <w:rPr>
          <w:color w:val="050505"/>
          <w:spacing w:val="-3"/>
        </w:rPr>
        <w:t xml:space="preserve"> </w:t>
      </w:r>
      <w:r>
        <w:rPr>
          <w:color w:val="050505"/>
        </w:rPr>
        <w:t>of</w:t>
      </w:r>
      <w:r>
        <w:rPr>
          <w:color w:val="050505"/>
          <w:spacing w:val="-3"/>
        </w:rPr>
        <w:t xml:space="preserve"> </w:t>
      </w:r>
      <w:r>
        <w:rPr>
          <w:color w:val="050505"/>
        </w:rPr>
        <w:t>the</w:t>
      </w:r>
      <w:r>
        <w:rPr>
          <w:color w:val="050505"/>
          <w:spacing w:val="-3"/>
        </w:rPr>
        <w:t xml:space="preserve"> </w:t>
      </w:r>
      <w:r>
        <w:rPr>
          <w:color w:val="050505"/>
        </w:rPr>
        <w:t>WIDA</w:t>
      </w:r>
      <w:r>
        <w:rPr>
          <w:color w:val="050505"/>
          <w:spacing w:val="-3"/>
        </w:rPr>
        <w:t xml:space="preserve"> </w:t>
      </w:r>
      <w:r>
        <w:rPr>
          <w:color w:val="050505"/>
        </w:rPr>
        <w:t>Screener</w:t>
      </w:r>
      <w:r>
        <w:rPr>
          <w:color w:val="050505"/>
          <w:spacing w:val="-3"/>
        </w:rPr>
        <w:t xml:space="preserve"> </w:t>
      </w:r>
      <w:r>
        <w:rPr>
          <w:color w:val="050505"/>
        </w:rPr>
        <w:t>and</w:t>
      </w:r>
      <w:r>
        <w:rPr>
          <w:color w:val="050505"/>
          <w:spacing w:val="-3"/>
        </w:rPr>
        <w:t xml:space="preserve"> </w:t>
      </w:r>
      <w:r>
        <w:rPr>
          <w:color w:val="050505"/>
        </w:rPr>
        <w:t>a</w:t>
      </w:r>
      <w:r>
        <w:rPr>
          <w:color w:val="050505"/>
          <w:spacing w:val="-3"/>
        </w:rPr>
        <w:t xml:space="preserve"> </w:t>
      </w:r>
      <w:r>
        <w:rPr>
          <w:color w:val="050505"/>
        </w:rPr>
        <w:t>Body</w:t>
      </w:r>
      <w:r>
        <w:rPr>
          <w:color w:val="050505"/>
          <w:spacing w:val="-3"/>
        </w:rPr>
        <w:t xml:space="preserve"> </w:t>
      </w:r>
      <w:r>
        <w:rPr>
          <w:color w:val="050505"/>
        </w:rPr>
        <w:t>of</w:t>
      </w:r>
      <w:r>
        <w:rPr>
          <w:color w:val="050505"/>
          <w:spacing w:val="-3"/>
        </w:rPr>
        <w:t xml:space="preserve"> </w:t>
      </w:r>
      <w:r>
        <w:rPr>
          <w:color w:val="050505"/>
        </w:rPr>
        <w:t>Evidence</w:t>
      </w:r>
      <w:r>
        <w:rPr>
          <w:color w:val="050505"/>
          <w:spacing w:val="-3"/>
        </w:rPr>
        <w:t xml:space="preserve"> </w:t>
      </w:r>
      <w:r>
        <w:rPr>
          <w:color w:val="050505"/>
        </w:rPr>
        <w:t>(BOE)</w:t>
      </w:r>
      <w:r>
        <w:rPr>
          <w:color w:val="050505"/>
          <w:spacing w:val="-3"/>
        </w:rPr>
        <w:t xml:space="preserve"> </w:t>
      </w:r>
      <w:r>
        <w:rPr>
          <w:color w:val="050505"/>
        </w:rPr>
        <w:t>the</w:t>
      </w:r>
      <w:r>
        <w:rPr>
          <w:color w:val="050505"/>
          <w:spacing w:val="-3"/>
        </w:rPr>
        <w:t xml:space="preserve"> </w:t>
      </w:r>
      <w:r>
        <w:rPr>
          <w:color w:val="050505"/>
        </w:rPr>
        <w:t>school must determine the English language proficiency level of each student.</w:t>
      </w:r>
    </w:p>
    <w:p w14:paraId="6D5E1CAE" w14:textId="77777777" w:rsidR="00BA52B3" w:rsidRDefault="00BA52B3" w:rsidP="00BA52B3">
      <w:pPr>
        <w:pStyle w:val="ListParagraph"/>
        <w:widowControl w:val="0"/>
        <w:numPr>
          <w:ilvl w:val="0"/>
          <w:numId w:val="1"/>
        </w:numPr>
        <w:tabs>
          <w:tab w:val="left" w:pos="2159"/>
        </w:tabs>
        <w:autoSpaceDE w:val="0"/>
        <w:autoSpaceDN w:val="0"/>
        <w:spacing w:after="0" w:line="240" w:lineRule="auto"/>
        <w:ind w:right="1761"/>
        <w:contextualSpacing w:val="0"/>
      </w:pPr>
      <w:r>
        <w:rPr>
          <w:color w:val="050505"/>
        </w:rPr>
        <w:t>The</w:t>
      </w:r>
      <w:r>
        <w:rPr>
          <w:color w:val="050505"/>
          <w:spacing w:val="-3"/>
        </w:rPr>
        <w:t xml:space="preserve"> </w:t>
      </w:r>
      <w:r>
        <w:rPr>
          <w:color w:val="050505"/>
        </w:rPr>
        <w:t>school</w:t>
      </w:r>
      <w:r>
        <w:rPr>
          <w:color w:val="050505"/>
          <w:spacing w:val="-4"/>
        </w:rPr>
        <w:t xml:space="preserve"> </w:t>
      </w:r>
      <w:r>
        <w:rPr>
          <w:color w:val="050505"/>
        </w:rPr>
        <w:t>must</w:t>
      </w:r>
      <w:r>
        <w:rPr>
          <w:color w:val="050505"/>
          <w:spacing w:val="-3"/>
        </w:rPr>
        <w:t xml:space="preserve"> </w:t>
      </w:r>
      <w:r>
        <w:rPr>
          <w:color w:val="050505"/>
        </w:rPr>
        <w:t>notify,</w:t>
      </w:r>
      <w:r>
        <w:rPr>
          <w:color w:val="050505"/>
          <w:spacing w:val="-4"/>
        </w:rPr>
        <w:t xml:space="preserve"> </w:t>
      </w:r>
      <w:r>
        <w:rPr>
          <w:color w:val="050505"/>
        </w:rPr>
        <w:t>in</w:t>
      </w:r>
      <w:r>
        <w:rPr>
          <w:color w:val="050505"/>
          <w:spacing w:val="-3"/>
        </w:rPr>
        <w:t xml:space="preserve"> </w:t>
      </w:r>
      <w:r>
        <w:rPr>
          <w:color w:val="050505"/>
        </w:rPr>
        <w:t>writing,</w:t>
      </w:r>
      <w:r>
        <w:rPr>
          <w:color w:val="050505"/>
          <w:spacing w:val="-3"/>
        </w:rPr>
        <w:t xml:space="preserve"> </w:t>
      </w:r>
      <w:r>
        <w:rPr>
          <w:color w:val="050505"/>
        </w:rPr>
        <w:t>guardians</w:t>
      </w:r>
      <w:r>
        <w:rPr>
          <w:color w:val="050505"/>
          <w:spacing w:val="-3"/>
        </w:rPr>
        <w:t xml:space="preserve"> </w:t>
      </w:r>
      <w:r>
        <w:rPr>
          <w:color w:val="050505"/>
        </w:rPr>
        <w:t>of</w:t>
      </w:r>
      <w:r>
        <w:rPr>
          <w:color w:val="050505"/>
          <w:spacing w:val="-4"/>
        </w:rPr>
        <w:t xml:space="preserve"> </w:t>
      </w:r>
      <w:r>
        <w:rPr>
          <w:color w:val="050505"/>
        </w:rPr>
        <w:t>students</w:t>
      </w:r>
      <w:r>
        <w:rPr>
          <w:color w:val="050505"/>
          <w:spacing w:val="-3"/>
        </w:rPr>
        <w:t xml:space="preserve"> </w:t>
      </w:r>
      <w:r>
        <w:rPr>
          <w:color w:val="050505"/>
        </w:rPr>
        <w:t>with</w:t>
      </w:r>
      <w:r>
        <w:rPr>
          <w:color w:val="050505"/>
          <w:spacing w:val="-3"/>
        </w:rPr>
        <w:t xml:space="preserve"> </w:t>
      </w:r>
      <w:r>
        <w:rPr>
          <w:color w:val="050505"/>
        </w:rPr>
        <w:t>limited</w:t>
      </w:r>
      <w:r>
        <w:rPr>
          <w:color w:val="050505"/>
          <w:spacing w:val="-3"/>
        </w:rPr>
        <w:t xml:space="preserve"> </w:t>
      </w:r>
      <w:r>
        <w:rPr>
          <w:color w:val="050505"/>
        </w:rPr>
        <w:t>English</w:t>
      </w:r>
      <w:r>
        <w:rPr>
          <w:color w:val="050505"/>
          <w:spacing w:val="-3"/>
        </w:rPr>
        <w:t xml:space="preserve"> </w:t>
      </w:r>
      <w:r>
        <w:rPr>
          <w:color w:val="050505"/>
        </w:rPr>
        <w:t xml:space="preserve">language proficiency that their student is identified for English Language Development programming. Written notification should be in a language and format guardians can </w:t>
      </w:r>
      <w:r>
        <w:rPr>
          <w:color w:val="050505"/>
          <w:spacing w:val="-2"/>
        </w:rPr>
        <w:t>understand.</w:t>
      </w:r>
    </w:p>
    <w:p w14:paraId="6E98A51B" w14:textId="77777777" w:rsidR="002B16B5" w:rsidRPr="00EB14C4" w:rsidRDefault="002B16B5" w:rsidP="006763B2">
      <w:pPr>
        <w:ind w:left="360"/>
      </w:pPr>
    </w:p>
    <w:p w14:paraId="1F423849" w14:textId="173168FA" w:rsidR="00915A63" w:rsidRDefault="00915A63" w:rsidP="00915A63">
      <w:pPr>
        <w:pStyle w:val="Heading1"/>
        <w:rPr>
          <w:sz w:val="28"/>
          <w:szCs w:val="28"/>
        </w:rPr>
      </w:pPr>
      <w:r>
        <w:rPr>
          <w:sz w:val="28"/>
          <w:szCs w:val="28"/>
        </w:rPr>
        <w:t>Why do Kindergartners only take the Listening and Speaking domains of the WIDA Screener?</w:t>
      </w:r>
    </w:p>
    <w:p w14:paraId="37E93639" w14:textId="31E06A94" w:rsidR="00915A63" w:rsidRPr="00915A63" w:rsidRDefault="00985321" w:rsidP="00915A63">
      <w:r>
        <w:t xml:space="preserve">WIDA assumes that </w:t>
      </w:r>
      <w:r w:rsidR="003C0531">
        <w:t xml:space="preserve">Kindergarten </w:t>
      </w:r>
      <w:r>
        <w:t xml:space="preserve">students don’t know how to read and write yet. Be wary of overidentifying students as MLs if you are looking at their reading and writing as Kindergarteners. </w:t>
      </w:r>
    </w:p>
    <w:p w14:paraId="05CC7B44" w14:textId="77777777" w:rsidR="00915A63" w:rsidRDefault="00915A63" w:rsidP="00F706F9">
      <w:pPr>
        <w:pStyle w:val="Heading1"/>
        <w:rPr>
          <w:sz w:val="28"/>
          <w:szCs w:val="28"/>
        </w:rPr>
      </w:pPr>
    </w:p>
    <w:p w14:paraId="03426CE2" w14:textId="62738BF1" w:rsidR="00F706F9" w:rsidRDefault="00F706F9" w:rsidP="00F706F9">
      <w:pPr>
        <w:pStyle w:val="Heading1"/>
        <w:rPr>
          <w:sz w:val="28"/>
          <w:szCs w:val="28"/>
        </w:rPr>
      </w:pPr>
      <w:r>
        <w:rPr>
          <w:sz w:val="28"/>
          <w:szCs w:val="28"/>
        </w:rPr>
        <w:t>The Home Language Survey (HLS) indicates there is no language influence other than English</w:t>
      </w:r>
      <w:r w:rsidR="00FA4EE5">
        <w:rPr>
          <w:sz w:val="28"/>
          <w:szCs w:val="28"/>
        </w:rPr>
        <w:t xml:space="preserve"> in the home, however, the school learns that there is in fact another language impactin</w:t>
      </w:r>
      <w:r w:rsidR="00F61B00">
        <w:rPr>
          <w:sz w:val="28"/>
          <w:szCs w:val="28"/>
        </w:rPr>
        <w:t>g the student’s language development. What do we do?</w:t>
      </w:r>
    </w:p>
    <w:p w14:paraId="4688A583" w14:textId="25C6797D" w:rsidR="00F706F9" w:rsidRPr="00946808" w:rsidRDefault="00F61B00" w:rsidP="00946808">
      <w:r>
        <w:t xml:space="preserve">There are many reasons why a family might fill out the HLS indicating no language influence other than English. If there is a language influence other than </w:t>
      </w:r>
      <w:r w:rsidR="009151D4">
        <w:t>English, even</w:t>
      </w:r>
      <w:r w:rsidR="00946808">
        <w:t xml:space="preserve"> if</w:t>
      </w:r>
      <w:r w:rsidR="009151D4">
        <w:t xml:space="preserve"> the child does not speak the language, the school is legally obligated to screen with the WIDA Screener and </w:t>
      </w:r>
      <w:r w:rsidR="00337E13">
        <w:t>analyze</w:t>
      </w:r>
      <w:r w:rsidR="009151D4">
        <w:t xml:space="preserve"> the results and body of evidence to </w:t>
      </w:r>
      <w:r w:rsidR="00337E13">
        <w:t>identify the student. If the student is identified as NEP or LEP, they must receive ELD services.</w:t>
      </w:r>
    </w:p>
    <w:p w14:paraId="50669FC6" w14:textId="6B26B207" w:rsidR="006763B2" w:rsidRDefault="00153306" w:rsidP="006763B2">
      <w:pPr>
        <w:pStyle w:val="Heading1"/>
        <w:rPr>
          <w:sz w:val="28"/>
          <w:szCs w:val="28"/>
        </w:rPr>
      </w:pPr>
      <w:r>
        <w:rPr>
          <w:sz w:val="28"/>
          <w:szCs w:val="28"/>
        </w:rPr>
        <w:t xml:space="preserve">Can a guardian opt a student out of English Language Development </w:t>
      </w:r>
      <w:r w:rsidR="00E76FE9">
        <w:rPr>
          <w:sz w:val="28"/>
          <w:szCs w:val="28"/>
        </w:rPr>
        <w:t xml:space="preserve">(ELD) </w:t>
      </w:r>
      <w:r>
        <w:rPr>
          <w:sz w:val="28"/>
          <w:szCs w:val="28"/>
        </w:rPr>
        <w:t>programming?</w:t>
      </w:r>
    </w:p>
    <w:p w14:paraId="68D48E4D" w14:textId="75B07CCD" w:rsidR="006F1899" w:rsidRPr="006F1899" w:rsidRDefault="006F1899" w:rsidP="006F1899">
      <w:r>
        <w:t xml:space="preserve">Yes. Schools must never recommend that parents </w:t>
      </w:r>
      <w:r w:rsidR="00397D51">
        <w:t>opt out</w:t>
      </w:r>
      <w:r>
        <w:t xml:space="preserve"> of programming</w:t>
      </w:r>
      <w:r w:rsidR="00731E75">
        <w:t>, but t</w:t>
      </w:r>
      <w:r>
        <w:t xml:space="preserve">he written notification </w:t>
      </w:r>
      <w:r w:rsidR="00E76FE9">
        <w:t>must include an option for guardians to opt the student out of ELD.</w:t>
      </w:r>
    </w:p>
    <w:p w14:paraId="04C840E8" w14:textId="64C6399C" w:rsidR="00397D51" w:rsidRDefault="00397D51" w:rsidP="00397D51">
      <w:pPr>
        <w:pStyle w:val="Heading1"/>
        <w:rPr>
          <w:sz w:val="28"/>
          <w:szCs w:val="28"/>
        </w:rPr>
      </w:pPr>
      <w:r>
        <w:rPr>
          <w:sz w:val="28"/>
          <w:szCs w:val="28"/>
        </w:rPr>
        <w:t xml:space="preserve">Can a guardian opt a student out of </w:t>
      </w:r>
      <w:r w:rsidR="00351385">
        <w:rPr>
          <w:sz w:val="28"/>
          <w:szCs w:val="28"/>
        </w:rPr>
        <w:t>WIDA Screener or ACCESS for ELLs testing?</w:t>
      </w:r>
    </w:p>
    <w:p w14:paraId="0B53723C" w14:textId="6FA321BD" w:rsidR="00397D51" w:rsidRPr="00397D51" w:rsidRDefault="00397D51" w:rsidP="00397D51">
      <w:r>
        <w:t>Guardians CANNOT opt a student out of the WIDA Screener or ACCESS for ELLs testing.</w:t>
      </w:r>
    </w:p>
    <w:p w14:paraId="5A465C1A" w14:textId="075BDAA8" w:rsidR="00351385" w:rsidRDefault="00351385" w:rsidP="00351385">
      <w:pPr>
        <w:pStyle w:val="Heading1"/>
        <w:rPr>
          <w:sz w:val="28"/>
          <w:szCs w:val="28"/>
        </w:rPr>
      </w:pPr>
      <w:r>
        <w:rPr>
          <w:sz w:val="28"/>
          <w:szCs w:val="28"/>
        </w:rPr>
        <w:t>How much time are we required to provide ELD services to students each day?</w:t>
      </w:r>
    </w:p>
    <w:p w14:paraId="52CE66EF" w14:textId="4299F25A" w:rsidR="00351385" w:rsidRDefault="00514697" w:rsidP="00351385">
      <w:r>
        <w:t xml:space="preserve">The Office of Civil Rights guidance suggests students should receive 45 minutes a day of ELD instruction. However, CSI schools have the </w:t>
      </w:r>
      <w:r w:rsidR="00716D8C">
        <w:t>autonomy</w:t>
      </w:r>
      <w:r>
        <w:t xml:space="preserve"> to design programming based on s</w:t>
      </w:r>
      <w:r w:rsidR="00716D8C">
        <w:t xml:space="preserve">tudents’ demographics, proficiency levels, staffing, and </w:t>
      </w:r>
      <w:r w:rsidR="00453C21">
        <w:t>academic needs.</w:t>
      </w:r>
    </w:p>
    <w:p w14:paraId="05B4C50E" w14:textId="3FBB2CB5" w:rsidR="00453C21" w:rsidRDefault="00453C21" w:rsidP="00453C21">
      <w:pPr>
        <w:pStyle w:val="Heading1"/>
        <w:rPr>
          <w:sz w:val="28"/>
          <w:szCs w:val="28"/>
        </w:rPr>
      </w:pPr>
      <w:r>
        <w:rPr>
          <w:sz w:val="28"/>
          <w:szCs w:val="28"/>
        </w:rPr>
        <w:t>When do I begin the redesignation process?</w:t>
      </w:r>
    </w:p>
    <w:p w14:paraId="739DCA92" w14:textId="3E1DE432" w:rsidR="00453C21" w:rsidRDefault="008D66C5" w:rsidP="00453C21">
      <w:hyperlink r:id="rId10" w:history="1">
        <w:r w:rsidR="00453C21" w:rsidRPr="008D66C5">
          <w:rPr>
            <w:rStyle w:val="Hyperlink"/>
          </w:rPr>
          <w:t>CSI Standardized Redesignation Process</w:t>
        </w:r>
      </w:hyperlink>
    </w:p>
    <w:p w14:paraId="1A22CAEB" w14:textId="4FB6AFC1" w:rsidR="00453C21" w:rsidRPr="00453C21" w:rsidRDefault="005A6385" w:rsidP="00453C21">
      <w:r>
        <w:t xml:space="preserve">Once a school receives their ACCESS scores in the Spring, it is recommended that the school begin the redesignation process by reviewing student’s recent ACCESS scores and body of evidence. Students may complete </w:t>
      </w:r>
      <w:r w:rsidR="00760901">
        <w:t>their current language programming through the end of the year while redesignation considerations are being made. The school should begin new programming if appropriate starting the following year.</w:t>
      </w:r>
    </w:p>
    <w:p w14:paraId="48BD439E" w14:textId="4C9347BC" w:rsidR="005869DB" w:rsidRDefault="005869DB" w:rsidP="005869DB">
      <w:pPr>
        <w:pStyle w:val="Heading1"/>
        <w:rPr>
          <w:sz w:val="28"/>
          <w:szCs w:val="28"/>
        </w:rPr>
      </w:pPr>
      <w:r>
        <w:rPr>
          <w:sz w:val="28"/>
          <w:szCs w:val="28"/>
        </w:rPr>
        <w:t>When should the new designation be updated in our student information system (SIS)?</w:t>
      </w:r>
    </w:p>
    <w:p w14:paraId="5201551D" w14:textId="5747CAEB" w:rsidR="000647A1" w:rsidRPr="000647A1" w:rsidRDefault="005869DB" w:rsidP="000647A1">
      <w:r>
        <w:t>New designations for students</w:t>
      </w:r>
      <w:r w:rsidR="004D0AC6">
        <w:t xml:space="preserve"> within your SIS should on</w:t>
      </w:r>
      <w:r w:rsidR="005A6E54">
        <w:t>ly</w:t>
      </w:r>
      <w:r w:rsidR="004D0AC6">
        <w:t xml:space="preserve"> be done at the beginning of the school year during the October Count window. However</w:t>
      </w:r>
      <w:r w:rsidR="005A6E54">
        <w:t>, these decisions should be a result from the prior Spring/Summer’s redesignation process</w:t>
      </w:r>
      <w:r w:rsidR="00F90581">
        <w:t xml:space="preserve"> and should be completed in collaboration with the school’s submission team in order to ensure each student is accurately identified</w:t>
      </w:r>
      <w:r w:rsidR="00880425">
        <w:t>.</w:t>
      </w:r>
    </w:p>
    <w:sectPr w:rsidR="000647A1" w:rsidRPr="000647A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781CE" w14:textId="77777777" w:rsidR="0074336E" w:rsidRDefault="0074336E" w:rsidP="009E3202">
      <w:pPr>
        <w:spacing w:after="0" w:line="240" w:lineRule="auto"/>
      </w:pPr>
      <w:r>
        <w:separator/>
      </w:r>
    </w:p>
  </w:endnote>
  <w:endnote w:type="continuationSeparator" w:id="0">
    <w:p w14:paraId="3DA82A11" w14:textId="77777777" w:rsidR="0074336E" w:rsidRDefault="0074336E"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EB5FC" w14:textId="77777777" w:rsidR="0074336E" w:rsidRDefault="0074336E" w:rsidP="009E3202">
      <w:pPr>
        <w:spacing w:after="0" w:line="240" w:lineRule="auto"/>
      </w:pPr>
      <w:r>
        <w:separator/>
      </w:r>
    </w:p>
  </w:footnote>
  <w:footnote w:type="continuationSeparator" w:id="0">
    <w:p w14:paraId="7C191531" w14:textId="77777777" w:rsidR="0074336E" w:rsidRDefault="0074336E"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3D45" w14:textId="77777777" w:rsidR="009E3202" w:rsidRDefault="0037488E" w:rsidP="009E3202">
    <w:pPr>
      <w:pStyle w:val="Header"/>
      <w:jc w:val="center"/>
    </w:pPr>
    <w:r>
      <w:rPr>
        <w:noProof/>
      </w:rPr>
      <w:drawing>
        <wp:inline distT="0" distB="0" distL="0" distR="0" wp14:anchorId="36A642EE" wp14:editId="236267E6">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23CD539D"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B7336"/>
    <w:multiLevelType w:val="hybridMultilevel"/>
    <w:tmpl w:val="92B22196"/>
    <w:lvl w:ilvl="0" w:tplc="BA6C6DE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A2C5B"/>
    <w:multiLevelType w:val="hybridMultilevel"/>
    <w:tmpl w:val="B5DC2966"/>
    <w:lvl w:ilvl="0" w:tplc="7FEC1E7E">
      <w:numFmt w:val="bullet"/>
      <w:lvlText w:val=""/>
      <w:lvlJc w:val="left"/>
      <w:pPr>
        <w:ind w:left="2159" w:hanging="360"/>
      </w:pPr>
      <w:rPr>
        <w:rFonts w:ascii="Symbol" w:eastAsia="Symbol" w:hAnsi="Symbol" w:cs="Symbol" w:hint="default"/>
        <w:b w:val="0"/>
        <w:bCs w:val="0"/>
        <w:i w:val="0"/>
        <w:iCs w:val="0"/>
        <w:color w:val="050505"/>
        <w:spacing w:val="0"/>
        <w:w w:val="99"/>
        <w:sz w:val="22"/>
        <w:szCs w:val="22"/>
        <w:lang w:val="en-US" w:eastAsia="en-US" w:bidi="ar-SA"/>
      </w:rPr>
    </w:lvl>
    <w:lvl w:ilvl="1" w:tplc="3502F322">
      <w:numFmt w:val="bullet"/>
      <w:lvlText w:val="•"/>
      <w:lvlJc w:val="left"/>
      <w:pPr>
        <w:ind w:left="2298" w:hanging="139"/>
      </w:pPr>
      <w:rPr>
        <w:rFonts w:ascii="Arial" w:eastAsia="Arial" w:hAnsi="Arial" w:cs="Arial" w:hint="default"/>
        <w:b w:val="0"/>
        <w:bCs w:val="0"/>
        <w:i w:val="0"/>
        <w:iCs w:val="0"/>
        <w:color w:val="050505"/>
        <w:spacing w:val="0"/>
        <w:w w:val="99"/>
        <w:sz w:val="22"/>
        <w:szCs w:val="22"/>
        <w:lang w:val="en-US" w:eastAsia="en-US" w:bidi="ar-SA"/>
      </w:rPr>
    </w:lvl>
    <w:lvl w:ilvl="2" w:tplc="0E4255F2">
      <w:numFmt w:val="bullet"/>
      <w:lvlText w:val="•"/>
      <w:lvlJc w:val="left"/>
      <w:pPr>
        <w:ind w:left="3404" w:hanging="139"/>
      </w:pPr>
      <w:rPr>
        <w:rFonts w:hint="default"/>
        <w:lang w:val="en-US" w:eastAsia="en-US" w:bidi="ar-SA"/>
      </w:rPr>
    </w:lvl>
    <w:lvl w:ilvl="3" w:tplc="99FE3EDC">
      <w:numFmt w:val="bullet"/>
      <w:lvlText w:val="•"/>
      <w:lvlJc w:val="left"/>
      <w:pPr>
        <w:ind w:left="4508" w:hanging="139"/>
      </w:pPr>
      <w:rPr>
        <w:rFonts w:hint="default"/>
        <w:lang w:val="en-US" w:eastAsia="en-US" w:bidi="ar-SA"/>
      </w:rPr>
    </w:lvl>
    <w:lvl w:ilvl="4" w:tplc="EDAEC18C">
      <w:numFmt w:val="bullet"/>
      <w:lvlText w:val="•"/>
      <w:lvlJc w:val="left"/>
      <w:pPr>
        <w:ind w:left="5613" w:hanging="139"/>
      </w:pPr>
      <w:rPr>
        <w:rFonts w:hint="default"/>
        <w:lang w:val="en-US" w:eastAsia="en-US" w:bidi="ar-SA"/>
      </w:rPr>
    </w:lvl>
    <w:lvl w:ilvl="5" w:tplc="9AAC6202">
      <w:numFmt w:val="bullet"/>
      <w:lvlText w:val="•"/>
      <w:lvlJc w:val="left"/>
      <w:pPr>
        <w:ind w:left="6717" w:hanging="139"/>
      </w:pPr>
      <w:rPr>
        <w:rFonts w:hint="default"/>
        <w:lang w:val="en-US" w:eastAsia="en-US" w:bidi="ar-SA"/>
      </w:rPr>
    </w:lvl>
    <w:lvl w:ilvl="6" w:tplc="40C2B4AA">
      <w:numFmt w:val="bullet"/>
      <w:lvlText w:val="•"/>
      <w:lvlJc w:val="left"/>
      <w:pPr>
        <w:ind w:left="7822" w:hanging="139"/>
      </w:pPr>
      <w:rPr>
        <w:rFonts w:hint="default"/>
        <w:lang w:val="en-US" w:eastAsia="en-US" w:bidi="ar-SA"/>
      </w:rPr>
    </w:lvl>
    <w:lvl w:ilvl="7" w:tplc="885C93AC">
      <w:numFmt w:val="bullet"/>
      <w:lvlText w:val="•"/>
      <w:lvlJc w:val="left"/>
      <w:pPr>
        <w:ind w:left="8926" w:hanging="139"/>
      </w:pPr>
      <w:rPr>
        <w:rFonts w:hint="default"/>
        <w:lang w:val="en-US" w:eastAsia="en-US" w:bidi="ar-SA"/>
      </w:rPr>
    </w:lvl>
    <w:lvl w:ilvl="8" w:tplc="B63E00BC">
      <w:numFmt w:val="bullet"/>
      <w:lvlText w:val="•"/>
      <w:lvlJc w:val="left"/>
      <w:pPr>
        <w:ind w:left="10031" w:hanging="139"/>
      </w:pPr>
      <w:rPr>
        <w:rFonts w:hint="default"/>
        <w:lang w:val="en-US" w:eastAsia="en-US" w:bidi="ar-SA"/>
      </w:rPr>
    </w:lvl>
  </w:abstractNum>
  <w:num w:numId="1" w16cid:durableId="6834086">
    <w:abstractNumId w:val="0"/>
  </w:num>
  <w:num w:numId="2" w16cid:durableId="1452170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6E"/>
    <w:rsid w:val="00030FE9"/>
    <w:rsid w:val="000647A1"/>
    <w:rsid w:val="00153306"/>
    <w:rsid w:val="00190F7B"/>
    <w:rsid w:val="001E71D3"/>
    <w:rsid w:val="00252383"/>
    <w:rsid w:val="002B16B5"/>
    <w:rsid w:val="002E3E92"/>
    <w:rsid w:val="00332E50"/>
    <w:rsid w:val="00337E13"/>
    <w:rsid w:val="00351385"/>
    <w:rsid w:val="00363D75"/>
    <w:rsid w:val="0037488E"/>
    <w:rsid w:val="00397D51"/>
    <w:rsid w:val="003C0531"/>
    <w:rsid w:val="003F6D52"/>
    <w:rsid w:val="00453C21"/>
    <w:rsid w:val="004D0AC6"/>
    <w:rsid w:val="004D2D58"/>
    <w:rsid w:val="004F1CA9"/>
    <w:rsid w:val="00514697"/>
    <w:rsid w:val="00551031"/>
    <w:rsid w:val="00580DA8"/>
    <w:rsid w:val="005869DB"/>
    <w:rsid w:val="00592ABC"/>
    <w:rsid w:val="005A6385"/>
    <w:rsid w:val="005A6E54"/>
    <w:rsid w:val="006763B2"/>
    <w:rsid w:val="006828C9"/>
    <w:rsid w:val="006C6D4B"/>
    <w:rsid w:val="006F1899"/>
    <w:rsid w:val="00716D8C"/>
    <w:rsid w:val="00731E75"/>
    <w:rsid w:val="0074336E"/>
    <w:rsid w:val="00760901"/>
    <w:rsid w:val="00880425"/>
    <w:rsid w:val="008D66C5"/>
    <w:rsid w:val="008F6B3D"/>
    <w:rsid w:val="009151D4"/>
    <w:rsid w:val="00915A63"/>
    <w:rsid w:val="009465A2"/>
    <w:rsid w:val="00946808"/>
    <w:rsid w:val="00976C1F"/>
    <w:rsid w:val="00985321"/>
    <w:rsid w:val="009C1CB9"/>
    <w:rsid w:val="009E3202"/>
    <w:rsid w:val="009F4907"/>
    <w:rsid w:val="009F4F33"/>
    <w:rsid w:val="00A259E9"/>
    <w:rsid w:val="00A53E21"/>
    <w:rsid w:val="00A75CE8"/>
    <w:rsid w:val="00B052A9"/>
    <w:rsid w:val="00B35A17"/>
    <w:rsid w:val="00B52F15"/>
    <w:rsid w:val="00B91A22"/>
    <w:rsid w:val="00BA52B3"/>
    <w:rsid w:val="00C7492B"/>
    <w:rsid w:val="00CD42DB"/>
    <w:rsid w:val="00E719BE"/>
    <w:rsid w:val="00E76AEC"/>
    <w:rsid w:val="00E76FE9"/>
    <w:rsid w:val="00EB14C4"/>
    <w:rsid w:val="00F06271"/>
    <w:rsid w:val="00F22B28"/>
    <w:rsid w:val="00F61B00"/>
    <w:rsid w:val="00F706F9"/>
    <w:rsid w:val="00F90581"/>
    <w:rsid w:val="00F94C35"/>
    <w:rsid w:val="00FA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DE306"/>
  <w15:chartTrackingRefBased/>
  <w15:docId w15:val="{3B87D514-B1D0-48CF-9C02-3F4A452C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ListParagraph">
    <w:name w:val="List Paragraph"/>
    <w:basedOn w:val="Normal"/>
    <w:uiPriority w:val="1"/>
    <w:qFormat/>
    <w:rsid w:val="004F1CA9"/>
    <w:pPr>
      <w:ind w:left="720"/>
      <w:contextualSpacing/>
    </w:pPr>
  </w:style>
  <w:style w:type="character" w:styleId="Hyperlink">
    <w:name w:val="Hyperlink"/>
    <w:basedOn w:val="DefaultParagraphFont"/>
    <w:uiPriority w:val="99"/>
    <w:unhideWhenUsed/>
    <w:rsid w:val="006C6D4B"/>
    <w:rPr>
      <w:color w:val="0563C1" w:themeColor="hyperlink"/>
      <w:u w:val="single"/>
    </w:rPr>
  </w:style>
  <w:style w:type="character" w:styleId="UnresolvedMention">
    <w:name w:val="Unresolved Mention"/>
    <w:basedOn w:val="DefaultParagraphFont"/>
    <w:uiPriority w:val="99"/>
    <w:semiHidden/>
    <w:unhideWhenUsed/>
    <w:rsid w:val="006C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wp-content/uploads/2025/06/CSI-ML-Standardized-Identification_SY25.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sources.csi.state.co.us/wp-content/uploads/2025/06/CSI-EL-Standardized-Redesignation_2025-26.docx" TargetMode="External"/><Relationship Id="rId4" Type="http://schemas.openxmlformats.org/officeDocument/2006/relationships/settings" Target="settings.xml"/><Relationship Id="rId9" Type="http://schemas.openxmlformats.org/officeDocument/2006/relationships/hyperlink" Target="https://www.cde.state.co.us/cde_english/identification-plac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s_r\Downloads\Simple%20Word%20Template%20-%20Accessibl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(1)</Template>
  <TotalTime>1464</TotalTime>
  <Pages>2</Pages>
  <Words>672</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Franks, Rachel</dc:creator>
  <cp:keywords/>
  <dc:description/>
  <cp:lastModifiedBy>Franks, Rachel</cp:lastModifiedBy>
  <cp:revision>45</cp:revision>
  <dcterms:created xsi:type="dcterms:W3CDTF">2025-06-24T19:16:00Z</dcterms:created>
  <dcterms:modified xsi:type="dcterms:W3CDTF">2025-06-25T19:58:00Z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8d83a82f-c73f-499c-99f0-d9a6d02c8197</vt:lpwstr>
  </property>
</Properties>
</file>