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92548" w14:textId="77777777" w:rsidR="00054455" w:rsidRPr="00054455" w:rsidRDefault="00054455" w:rsidP="00054455">
      <w:pPr>
        <w:pStyle w:val="NormalWeb"/>
        <w:spacing w:before="0" w:beforeAutospacing="0" w:after="0" w:afterAutospacing="0"/>
        <w:jc w:val="center"/>
        <w:rPr>
          <w:sz w:val="28"/>
          <w:szCs w:val="22"/>
        </w:rPr>
      </w:pPr>
      <w:r w:rsidRPr="00054455">
        <w:rPr>
          <w:rFonts w:cs="Arial"/>
          <w:sz w:val="40"/>
          <w:szCs w:val="32"/>
        </w:rPr>
        <w:t>Cross Collection Exit Code Discrepancies – EOY and SPED EOY</w:t>
      </w:r>
    </w:p>
    <w:p w14:paraId="067B19AD" w14:textId="77777777" w:rsidR="000647A1" w:rsidRDefault="000647A1" w:rsidP="000647A1"/>
    <w:p w14:paraId="6ADE5E84" w14:textId="34569540" w:rsidR="00054455" w:rsidRPr="00054455" w:rsidRDefault="00054455" w:rsidP="00054455">
      <w:pPr>
        <w:pStyle w:val="Heading2"/>
        <w:rPr>
          <w:sz w:val="20"/>
          <w:szCs w:val="20"/>
        </w:rPr>
      </w:pPr>
      <w:r w:rsidRPr="00054455">
        <w:rPr>
          <w:sz w:val="24"/>
          <w:szCs w:val="24"/>
        </w:rPr>
        <w:t xml:space="preserve">A </w:t>
      </w:r>
      <w:r w:rsidRPr="00054455">
        <w:rPr>
          <w:sz w:val="24"/>
          <w:szCs w:val="24"/>
        </w:rPr>
        <w:t>cross-collection</w:t>
      </w:r>
      <w:r w:rsidRPr="00054455">
        <w:rPr>
          <w:sz w:val="24"/>
          <w:szCs w:val="24"/>
        </w:rPr>
        <w:t xml:space="preserve"> comparison of exit coding is completed each Summer by CSI staff to ensure that the End of Year (EOY) and SPED EOY collections are closely aligned.  This check looks specifically at the Exit Date and Exit Type along with Disability and verifies that the data submitted to CDE is accurate and matches.  CSI will notify you if discrepancies are found and corrections are necessary.  CSI recommends that all schools review their exit details for each student (particularly SPED) prior to submitting which should expedite this validation process.</w:t>
      </w:r>
    </w:p>
    <w:p w14:paraId="6FDCCF82" w14:textId="77777777" w:rsidR="00054455" w:rsidRPr="00054455" w:rsidRDefault="00054455" w:rsidP="00054455">
      <w:pPr>
        <w:pStyle w:val="Heading2"/>
        <w:rPr>
          <w:sz w:val="24"/>
          <w:szCs w:val="24"/>
        </w:rPr>
      </w:pPr>
      <w:r w:rsidRPr="00054455">
        <w:rPr>
          <w:sz w:val="24"/>
          <w:szCs w:val="24"/>
        </w:rPr>
        <w:t xml:space="preserve">Exit Codes should generally match across the SPED EOY and EOY collections </w:t>
      </w:r>
      <w:proofErr w:type="gramStart"/>
      <w:r w:rsidRPr="00054455">
        <w:rPr>
          <w:sz w:val="24"/>
          <w:szCs w:val="24"/>
        </w:rPr>
        <w:t>with the exception of</w:t>
      </w:r>
      <w:proofErr w:type="gramEnd"/>
      <w:r w:rsidRPr="00054455">
        <w:rPr>
          <w:sz w:val="24"/>
          <w:szCs w:val="24"/>
        </w:rPr>
        <w:t xml:space="preserve"> </w:t>
      </w:r>
      <w:proofErr w:type="gramStart"/>
      <w:r w:rsidRPr="00054455">
        <w:rPr>
          <w:sz w:val="24"/>
          <w:szCs w:val="24"/>
        </w:rPr>
        <w:t>the below</w:t>
      </w:r>
      <w:proofErr w:type="gramEnd"/>
      <w:r w:rsidRPr="00054455">
        <w:rPr>
          <w:sz w:val="24"/>
          <w:szCs w:val="24"/>
        </w:rPr>
        <w:t xml:space="preserve"> Exit Types/Basis of Exits:  </w:t>
      </w:r>
    </w:p>
    <w:p w14:paraId="145D91DC" w14:textId="77777777" w:rsidR="000647A1" w:rsidRDefault="000647A1" w:rsidP="000647A1"/>
    <w:tbl>
      <w:tblPr>
        <w:tblStyle w:val="TableGrid"/>
        <w:tblW w:w="0" w:type="auto"/>
        <w:tblLayout w:type="fixed"/>
        <w:tblLook w:val="04A0" w:firstRow="1" w:lastRow="0" w:firstColumn="1" w:lastColumn="0" w:noHBand="0" w:noVBand="1"/>
      </w:tblPr>
      <w:tblGrid>
        <w:gridCol w:w="686"/>
        <w:gridCol w:w="4079"/>
        <w:gridCol w:w="720"/>
        <w:gridCol w:w="3865"/>
      </w:tblGrid>
      <w:tr w:rsidR="00054455" w14:paraId="671DE6A9" w14:textId="77777777" w:rsidTr="006250B2">
        <w:tc>
          <w:tcPr>
            <w:tcW w:w="9350" w:type="dxa"/>
            <w:gridSpan w:val="4"/>
            <w:shd w:val="clear" w:color="auto" w:fill="008CA0"/>
          </w:tcPr>
          <w:p w14:paraId="3F66D59E" w14:textId="77777777" w:rsidR="00054455" w:rsidRPr="00315A93" w:rsidRDefault="00054455" w:rsidP="006250B2">
            <w:pPr>
              <w:rPr>
                <w:b/>
                <w:bCs/>
                <w:color w:val="FFFFFF" w:themeColor="background1"/>
                <w:sz w:val="28"/>
                <w:szCs w:val="28"/>
              </w:rPr>
            </w:pPr>
            <w:r w:rsidRPr="00315A93">
              <w:rPr>
                <w:b/>
                <w:bCs/>
                <w:color w:val="FFFFFF" w:themeColor="background1"/>
                <w:sz w:val="28"/>
                <w:szCs w:val="28"/>
              </w:rPr>
              <w:t>Cross Collection Exit Code Discrepancies</w:t>
            </w:r>
          </w:p>
        </w:tc>
      </w:tr>
      <w:tr w:rsidR="00054455" w14:paraId="3836D889" w14:textId="77777777" w:rsidTr="00054455">
        <w:trPr>
          <w:trHeight w:val="1097"/>
        </w:trPr>
        <w:tc>
          <w:tcPr>
            <w:tcW w:w="4765" w:type="dxa"/>
            <w:gridSpan w:val="2"/>
            <w:shd w:val="clear" w:color="auto" w:fill="FFE599" w:themeFill="accent4" w:themeFillTint="66"/>
          </w:tcPr>
          <w:p w14:paraId="0126E08D" w14:textId="77777777" w:rsidR="00054455" w:rsidRPr="00931291" w:rsidRDefault="00054455" w:rsidP="006250B2">
            <w:pPr>
              <w:rPr>
                <w:b/>
                <w:bCs/>
              </w:rPr>
            </w:pPr>
            <w:r w:rsidRPr="00931291">
              <w:rPr>
                <w:b/>
                <w:bCs/>
              </w:rPr>
              <w:t>General Education Exit Codes</w:t>
            </w:r>
          </w:p>
        </w:tc>
        <w:tc>
          <w:tcPr>
            <w:tcW w:w="4585" w:type="dxa"/>
            <w:gridSpan w:val="2"/>
            <w:shd w:val="clear" w:color="auto" w:fill="D9E2F3" w:themeFill="accent1" w:themeFillTint="33"/>
          </w:tcPr>
          <w:p w14:paraId="4B813E10" w14:textId="77777777" w:rsidR="00054455" w:rsidRPr="00931291" w:rsidRDefault="00054455" w:rsidP="006250B2">
            <w:pPr>
              <w:rPr>
                <w:b/>
                <w:bCs/>
              </w:rPr>
            </w:pPr>
            <w:r w:rsidRPr="00931291">
              <w:rPr>
                <w:b/>
                <w:bCs/>
              </w:rPr>
              <w:t>Special Education Exit Codes</w:t>
            </w:r>
          </w:p>
        </w:tc>
      </w:tr>
      <w:tr w:rsidR="00054455" w14:paraId="1D82CC3C" w14:textId="77777777" w:rsidTr="006250B2">
        <w:trPr>
          <w:trHeight w:val="305"/>
        </w:trPr>
        <w:tc>
          <w:tcPr>
            <w:tcW w:w="4765" w:type="dxa"/>
            <w:gridSpan w:val="2"/>
            <w:shd w:val="clear" w:color="auto" w:fill="D0CECE" w:themeFill="background2" w:themeFillShade="E6"/>
          </w:tcPr>
          <w:p w14:paraId="2B1DD437" w14:textId="77777777" w:rsidR="00054455" w:rsidRPr="00931291" w:rsidRDefault="00054455" w:rsidP="006250B2">
            <w:pPr>
              <w:rPr>
                <w:b/>
                <w:bCs/>
              </w:rPr>
            </w:pPr>
            <w:bookmarkStart w:id="0" w:name="_Hlk66191932"/>
            <w:r w:rsidRPr="00931291">
              <w:rPr>
                <w:b/>
                <w:bCs/>
              </w:rPr>
              <w:t>Exit Code Transfers</w:t>
            </w:r>
          </w:p>
        </w:tc>
        <w:tc>
          <w:tcPr>
            <w:tcW w:w="4585" w:type="dxa"/>
            <w:gridSpan w:val="2"/>
            <w:shd w:val="clear" w:color="auto" w:fill="D0CECE" w:themeFill="background2" w:themeFillShade="E6"/>
          </w:tcPr>
          <w:p w14:paraId="326310A8" w14:textId="77777777" w:rsidR="00054455" w:rsidRPr="00931291" w:rsidRDefault="00054455" w:rsidP="006250B2">
            <w:pPr>
              <w:rPr>
                <w:b/>
                <w:bCs/>
              </w:rPr>
            </w:pPr>
            <w:r w:rsidRPr="00931291">
              <w:rPr>
                <w:b/>
                <w:bCs/>
              </w:rPr>
              <w:t>Exit Codes – Outgoing Transfers</w:t>
            </w:r>
          </w:p>
        </w:tc>
      </w:tr>
      <w:tr w:rsidR="00054455" w14:paraId="472188BD" w14:textId="77777777" w:rsidTr="006250B2">
        <w:tc>
          <w:tcPr>
            <w:tcW w:w="686" w:type="dxa"/>
            <w:vAlign w:val="center"/>
          </w:tcPr>
          <w:p w14:paraId="3DE1CD0C" w14:textId="77777777" w:rsidR="00054455" w:rsidRPr="00B92D2C" w:rsidRDefault="00054455" w:rsidP="006250B2">
            <w:pPr>
              <w:jc w:val="center"/>
              <w:rPr>
                <w:sz w:val="20"/>
                <w:szCs w:val="20"/>
              </w:rPr>
            </w:pPr>
            <w:r>
              <w:rPr>
                <w:sz w:val="20"/>
                <w:szCs w:val="20"/>
              </w:rPr>
              <w:t>09</w:t>
            </w:r>
          </w:p>
        </w:tc>
        <w:tc>
          <w:tcPr>
            <w:tcW w:w="4079" w:type="dxa"/>
            <w:vAlign w:val="center"/>
          </w:tcPr>
          <w:p w14:paraId="1A84287E" w14:textId="77777777" w:rsidR="00054455" w:rsidRPr="00B92D2C" w:rsidRDefault="00054455" w:rsidP="006250B2">
            <w:pPr>
              <w:rPr>
                <w:b/>
                <w:bCs/>
                <w:sz w:val="20"/>
                <w:szCs w:val="20"/>
              </w:rPr>
            </w:pPr>
            <w:r w:rsidRPr="00054455">
              <w:rPr>
                <w:color w:val="767171" w:themeColor="background2" w:themeShade="80"/>
                <w:sz w:val="20"/>
                <w:szCs w:val="20"/>
              </w:rPr>
              <w:t xml:space="preserve">Not used in Student EOY.  </w:t>
            </w:r>
            <w:proofErr w:type="gramStart"/>
            <w:r w:rsidRPr="00054455">
              <w:rPr>
                <w:color w:val="767171" w:themeColor="background2" w:themeShade="80"/>
                <w:sz w:val="20"/>
                <w:szCs w:val="20"/>
              </w:rPr>
              <w:t>Student is</w:t>
            </w:r>
            <w:proofErr w:type="gramEnd"/>
            <w:r w:rsidRPr="00054455">
              <w:rPr>
                <w:color w:val="767171" w:themeColor="background2" w:themeShade="80"/>
                <w:sz w:val="20"/>
                <w:szCs w:val="20"/>
              </w:rPr>
              <w:t xml:space="preserve"> only exiting SPED but will remain in the school</w:t>
            </w:r>
          </w:p>
        </w:tc>
        <w:tc>
          <w:tcPr>
            <w:tcW w:w="720" w:type="dxa"/>
            <w:vAlign w:val="center"/>
          </w:tcPr>
          <w:p w14:paraId="5B122929" w14:textId="77777777" w:rsidR="00054455" w:rsidRPr="00B92D2C" w:rsidRDefault="00054455" w:rsidP="006250B2">
            <w:pPr>
              <w:jc w:val="center"/>
              <w:rPr>
                <w:sz w:val="20"/>
                <w:szCs w:val="20"/>
              </w:rPr>
            </w:pPr>
          </w:p>
        </w:tc>
        <w:tc>
          <w:tcPr>
            <w:tcW w:w="3865" w:type="dxa"/>
            <w:vAlign w:val="center"/>
          </w:tcPr>
          <w:p w14:paraId="62C1FD5B" w14:textId="77777777" w:rsidR="00054455" w:rsidRPr="006F5694" w:rsidRDefault="00054455" w:rsidP="006250B2">
            <w:pPr>
              <w:pStyle w:val="Default"/>
              <w:rPr>
                <w:rFonts w:ascii="Arial" w:hAnsi="Arial" w:cs="Arial"/>
                <w:color w:val="808080" w:themeColor="background1" w:themeShade="80"/>
                <w:sz w:val="20"/>
                <w:szCs w:val="20"/>
              </w:rPr>
            </w:pPr>
            <w:r w:rsidRPr="006F5694">
              <w:rPr>
                <w:rFonts w:ascii="Arial" w:hAnsi="Arial" w:cs="Arial"/>
                <w:b/>
                <w:bCs/>
                <w:sz w:val="20"/>
                <w:szCs w:val="20"/>
              </w:rPr>
              <w:t>Transferred to Regular Education</w:t>
            </w:r>
            <w:r w:rsidRPr="006F5694">
              <w:rPr>
                <w:rFonts w:ascii="Arial" w:hAnsi="Arial" w:cs="Arial"/>
                <w:sz w:val="20"/>
                <w:szCs w:val="20"/>
              </w:rPr>
              <w:t xml:space="preserve"> – A student who was served in Special Education at the start of the reporting period, but at some point, during that 12-month period, returned to regular education. These are students who no longer have an IEP and </w:t>
            </w:r>
            <w:proofErr w:type="gramStart"/>
            <w:r w:rsidRPr="006F5694">
              <w:rPr>
                <w:rFonts w:ascii="Arial" w:hAnsi="Arial" w:cs="Arial"/>
                <w:sz w:val="20"/>
                <w:szCs w:val="20"/>
              </w:rPr>
              <w:t>are receiving</w:t>
            </w:r>
            <w:proofErr w:type="gramEnd"/>
            <w:r w:rsidRPr="006F5694">
              <w:rPr>
                <w:rFonts w:ascii="Arial" w:hAnsi="Arial" w:cs="Arial"/>
                <w:sz w:val="20"/>
                <w:szCs w:val="20"/>
              </w:rPr>
              <w:t xml:space="preserve"> all their educational services from a regular education program (This code is not intended for students for whom the parent has revoked consent for services; for these students use code 60).</w:t>
            </w:r>
          </w:p>
        </w:tc>
      </w:tr>
      <w:bookmarkEnd w:id="0"/>
      <w:tr w:rsidR="00054455" w14:paraId="2BDD2B20" w14:textId="77777777" w:rsidTr="006250B2">
        <w:tc>
          <w:tcPr>
            <w:tcW w:w="686" w:type="dxa"/>
            <w:vAlign w:val="center"/>
          </w:tcPr>
          <w:p w14:paraId="6C879E16" w14:textId="77777777" w:rsidR="00054455" w:rsidRPr="00B92D2C" w:rsidRDefault="00054455" w:rsidP="006250B2">
            <w:pPr>
              <w:jc w:val="center"/>
              <w:rPr>
                <w:sz w:val="20"/>
                <w:szCs w:val="20"/>
              </w:rPr>
            </w:pPr>
            <w:r w:rsidRPr="00B92D2C">
              <w:rPr>
                <w:sz w:val="20"/>
                <w:szCs w:val="20"/>
              </w:rPr>
              <w:t>10</w:t>
            </w:r>
          </w:p>
        </w:tc>
        <w:tc>
          <w:tcPr>
            <w:tcW w:w="4079" w:type="dxa"/>
            <w:vAlign w:val="center"/>
          </w:tcPr>
          <w:p w14:paraId="29C8B39F" w14:textId="77777777" w:rsidR="00054455" w:rsidRPr="00B92D2C" w:rsidRDefault="00054455" w:rsidP="006250B2">
            <w:pPr>
              <w:rPr>
                <w:b/>
                <w:bCs/>
                <w:sz w:val="20"/>
                <w:szCs w:val="20"/>
              </w:rPr>
            </w:pPr>
            <w:r w:rsidRPr="00B92D2C">
              <w:rPr>
                <w:b/>
                <w:bCs/>
                <w:sz w:val="20"/>
                <w:szCs w:val="20"/>
              </w:rPr>
              <w:t xml:space="preserve">Grade reassignment in same school  </w:t>
            </w:r>
          </w:p>
          <w:p w14:paraId="139F9788" w14:textId="77777777" w:rsidR="00054455" w:rsidRPr="00B92D2C" w:rsidRDefault="00054455" w:rsidP="006250B2">
            <w:pPr>
              <w:pStyle w:val="Default"/>
              <w:rPr>
                <w:rFonts w:ascii="Arial" w:hAnsi="Arial" w:cs="Arial"/>
                <w:sz w:val="20"/>
                <w:szCs w:val="20"/>
              </w:rPr>
            </w:pPr>
            <w:r w:rsidRPr="00B92D2C">
              <w:rPr>
                <w:rFonts w:ascii="Arial" w:hAnsi="Arial" w:cs="Arial"/>
                <w:sz w:val="20"/>
                <w:szCs w:val="20"/>
              </w:rPr>
              <w:t xml:space="preserve">A student who remains within the same school but whose grade level is being changed during the school year (examples: beginning of the school year retention, a mid-year grade promotion, etc.) </w:t>
            </w:r>
          </w:p>
        </w:tc>
        <w:tc>
          <w:tcPr>
            <w:tcW w:w="720" w:type="dxa"/>
            <w:vAlign w:val="center"/>
          </w:tcPr>
          <w:p w14:paraId="6C84FBCB" w14:textId="77777777" w:rsidR="00054455" w:rsidRPr="00B92D2C" w:rsidRDefault="00054455" w:rsidP="006250B2">
            <w:pPr>
              <w:jc w:val="center"/>
              <w:rPr>
                <w:sz w:val="20"/>
                <w:szCs w:val="20"/>
              </w:rPr>
            </w:pPr>
            <w:r w:rsidRPr="00B92D2C">
              <w:rPr>
                <w:sz w:val="20"/>
                <w:szCs w:val="20"/>
              </w:rPr>
              <w:t>10</w:t>
            </w:r>
          </w:p>
        </w:tc>
        <w:tc>
          <w:tcPr>
            <w:tcW w:w="3865" w:type="dxa"/>
            <w:vAlign w:val="center"/>
          </w:tcPr>
          <w:p w14:paraId="44BC8E36" w14:textId="77777777" w:rsidR="00054455" w:rsidRPr="00054455" w:rsidRDefault="00054455" w:rsidP="006250B2">
            <w:pPr>
              <w:pStyle w:val="Default"/>
              <w:rPr>
                <w:rFonts w:ascii="Arial" w:hAnsi="Arial" w:cs="Arial"/>
                <w:color w:val="767171" w:themeColor="background2" w:themeShade="80"/>
                <w:sz w:val="20"/>
                <w:szCs w:val="20"/>
              </w:rPr>
            </w:pPr>
            <w:r w:rsidRPr="00054455">
              <w:rPr>
                <w:rFonts w:ascii="Arial" w:hAnsi="Arial" w:cs="Arial"/>
                <w:color w:val="767171" w:themeColor="background2" w:themeShade="80"/>
                <w:sz w:val="20"/>
                <w:szCs w:val="20"/>
              </w:rPr>
              <w:t xml:space="preserve">Not used in Special Education because the student remains in a special education program </w:t>
            </w:r>
          </w:p>
          <w:p w14:paraId="10A88403" w14:textId="77777777" w:rsidR="00054455" w:rsidRPr="00B92D2C" w:rsidRDefault="00054455" w:rsidP="006250B2">
            <w:pPr>
              <w:rPr>
                <w:sz w:val="20"/>
                <w:szCs w:val="20"/>
              </w:rPr>
            </w:pPr>
          </w:p>
        </w:tc>
      </w:tr>
      <w:tr w:rsidR="00054455" w14:paraId="7C4E624E" w14:textId="77777777" w:rsidTr="006250B2">
        <w:tc>
          <w:tcPr>
            <w:tcW w:w="686" w:type="dxa"/>
            <w:vAlign w:val="center"/>
          </w:tcPr>
          <w:p w14:paraId="5ECC41C4" w14:textId="77777777" w:rsidR="00054455" w:rsidRPr="00B92D2C" w:rsidRDefault="00054455" w:rsidP="006250B2">
            <w:pPr>
              <w:jc w:val="center"/>
              <w:rPr>
                <w:sz w:val="20"/>
                <w:szCs w:val="20"/>
              </w:rPr>
            </w:pPr>
            <w:r>
              <w:rPr>
                <w:sz w:val="20"/>
                <w:szCs w:val="20"/>
              </w:rPr>
              <w:t>11</w:t>
            </w:r>
          </w:p>
        </w:tc>
        <w:tc>
          <w:tcPr>
            <w:tcW w:w="4079" w:type="dxa"/>
            <w:vAlign w:val="center"/>
          </w:tcPr>
          <w:p w14:paraId="5D03DF8E" w14:textId="77777777" w:rsidR="00054455" w:rsidRPr="00151A5E" w:rsidRDefault="00054455" w:rsidP="006250B2">
            <w:pPr>
              <w:rPr>
                <w:sz w:val="20"/>
                <w:szCs w:val="20"/>
              </w:rPr>
            </w:pPr>
            <w:r>
              <w:rPr>
                <w:b/>
                <w:bCs/>
                <w:sz w:val="20"/>
                <w:szCs w:val="20"/>
              </w:rPr>
              <w:t>Transfer to a public school in the same school district -</w:t>
            </w:r>
          </w:p>
          <w:p w14:paraId="78A4453E" w14:textId="77777777" w:rsidR="00054455" w:rsidRPr="00151A5E" w:rsidRDefault="00054455" w:rsidP="006250B2">
            <w:pPr>
              <w:pStyle w:val="Default"/>
              <w:rPr>
                <w:rFonts w:ascii="Arial" w:hAnsi="Arial" w:cs="Arial"/>
                <w:sz w:val="20"/>
                <w:szCs w:val="20"/>
              </w:rPr>
            </w:pPr>
            <w:r w:rsidRPr="00151A5E">
              <w:rPr>
                <w:rFonts w:ascii="Arial" w:hAnsi="Arial" w:cs="Arial"/>
                <w:sz w:val="20"/>
                <w:szCs w:val="20"/>
              </w:rPr>
              <w:t xml:space="preserve">A student who transfers from one public school to another public school within the school district. Do </w:t>
            </w:r>
            <w:r w:rsidRPr="00151A5E">
              <w:rPr>
                <w:rFonts w:ascii="Arial" w:hAnsi="Arial" w:cs="Arial"/>
                <w:b/>
                <w:bCs/>
                <w:sz w:val="20"/>
                <w:szCs w:val="20"/>
              </w:rPr>
              <w:t xml:space="preserve">NOT </w:t>
            </w:r>
            <w:r w:rsidRPr="00151A5E">
              <w:rPr>
                <w:rFonts w:ascii="Arial" w:hAnsi="Arial" w:cs="Arial"/>
                <w:sz w:val="20"/>
                <w:szCs w:val="20"/>
              </w:rPr>
              <w:t xml:space="preserve">use this exit code for students who will be matriculating from one school (i.e. 8th grade middle school) to </w:t>
            </w:r>
            <w:r w:rsidRPr="00151A5E">
              <w:rPr>
                <w:rFonts w:ascii="Arial" w:hAnsi="Arial" w:cs="Arial"/>
                <w:sz w:val="20"/>
                <w:szCs w:val="20"/>
              </w:rPr>
              <w:lastRenderedPageBreak/>
              <w:t xml:space="preserve">another school (i.e. 9th grade high school) in the same district. </w:t>
            </w:r>
          </w:p>
        </w:tc>
        <w:tc>
          <w:tcPr>
            <w:tcW w:w="720" w:type="dxa"/>
            <w:vAlign w:val="center"/>
          </w:tcPr>
          <w:p w14:paraId="510142A0" w14:textId="77777777" w:rsidR="00054455" w:rsidRPr="00B92D2C" w:rsidRDefault="00054455" w:rsidP="006250B2">
            <w:pPr>
              <w:jc w:val="center"/>
              <w:rPr>
                <w:sz w:val="20"/>
                <w:szCs w:val="20"/>
              </w:rPr>
            </w:pPr>
            <w:r>
              <w:rPr>
                <w:sz w:val="20"/>
                <w:szCs w:val="20"/>
              </w:rPr>
              <w:lastRenderedPageBreak/>
              <w:t>11</w:t>
            </w:r>
          </w:p>
        </w:tc>
        <w:tc>
          <w:tcPr>
            <w:tcW w:w="3865" w:type="dxa"/>
            <w:vAlign w:val="center"/>
          </w:tcPr>
          <w:p w14:paraId="3865CB91" w14:textId="77777777" w:rsidR="00054455" w:rsidRPr="00054455" w:rsidRDefault="00054455" w:rsidP="006250B2">
            <w:pPr>
              <w:pStyle w:val="Default"/>
              <w:rPr>
                <w:rFonts w:ascii="Arial" w:hAnsi="Arial" w:cs="Arial"/>
                <w:color w:val="767171" w:themeColor="background2" w:themeShade="80"/>
                <w:sz w:val="20"/>
                <w:szCs w:val="20"/>
              </w:rPr>
            </w:pPr>
            <w:r w:rsidRPr="00054455">
              <w:rPr>
                <w:rFonts w:ascii="Arial" w:hAnsi="Arial" w:cs="Arial"/>
                <w:color w:val="767171" w:themeColor="background2" w:themeShade="80"/>
                <w:sz w:val="20"/>
                <w:szCs w:val="20"/>
              </w:rPr>
              <w:t xml:space="preserve">Not used in Special Education because the student remains in a special education program.  Former </w:t>
            </w:r>
            <w:proofErr w:type="gramStart"/>
            <w:r w:rsidRPr="00054455">
              <w:rPr>
                <w:rFonts w:ascii="Arial" w:hAnsi="Arial" w:cs="Arial"/>
                <w:color w:val="767171" w:themeColor="background2" w:themeShade="80"/>
                <w:sz w:val="20"/>
                <w:szCs w:val="20"/>
              </w:rPr>
              <w:t>school</w:t>
            </w:r>
            <w:proofErr w:type="gramEnd"/>
            <w:r w:rsidRPr="00054455">
              <w:rPr>
                <w:rFonts w:ascii="Arial" w:hAnsi="Arial" w:cs="Arial"/>
                <w:color w:val="767171" w:themeColor="background2" w:themeShade="80"/>
                <w:sz w:val="20"/>
                <w:szCs w:val="20"/>
              </w:rPr>
              <w:t xml:space="preserve"> should exit student with a new entry in the latter </w:t>
            </w:r>
          </w:p>
          <w:p w14:paraId="343F528B" w14:textId="77777777" w:rsidR="00054455" w:rsidRPr="00B92D2C" w:rsidRDefault="00054455" w:rsidP="006250B2">
            <w:pPr>
              <w:rPr>
                <w:sz w:val="20"/>
                <w:szCs w:val="20"/>
              </w:rPr>
            </w:pPr>
          </w:p>
        </w:tc>
      </w:tr>
      <w:tr w:rsidR="00054455" w14:paraId="059012F5" w14:textId="77777777" w:rsidTr="006250B2">
        <w:tc>
          <w:tcPr>
            <w:tcW w:w="686" w:type="dxa"/>
            <w:vAlign w:val="center"/>
          </w:tcPr>
          <w:p w14:paraId="661E32EF" w14:textId="77777777" w:rsidR="00054455" w:rsidRPr="00B92D2C" w:rsidRDefault="00054455" w:rsidP="006250B2">
            <w:pPr>
              <w:jc w:val="center"/>
              <w:rPr>
                <w:sz w:val="20"/>
                <w:szCs w:val="20"/>
              </w:rPr>
            </w:pPr>
            <w:r>
              <w:rPr>
                <w:sz w:val="20"/>
                <w:szCs w:val="20"/>
              </w:rPr>
              <w:t>12</w:t>
            </w:r>
          </w:p>
        </w:tc>
        <w:tc>
          <w:tcPr>
            <w:tcW w:w="4079" w:type="dxa"/>
            <w:vAlign w:val="center"/>
          </w:tcPr>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3732"/>
            </w:tblGrid>
            <w:tr w:rsidR="00054455" w:rsidRPr="00151A5E" w14:paraId="0D63AE35" w14:textId="77777777" w:rsidTr="006250B2">
              <w:trPr>
                <w:trHeight w:val="1860"/>
              </w:trPr>
              <w:tc>
                <w:tcPr>
                  <w:tcW w:w="3732" w:type="dxa"/>
                </w:tcPr>
                <w:p w14:paraId="2F94EA8B" w14:textId="77777777" w:rsidR="00054455" w:rsidRPr="00151A5E" w:rsidRDefault="00054455" w:rsidP="006250B2">
                  <w:pPr>
                    <w:rPr>
                      <w:sz w:val="20"/>
                      <w:szCs w:val="20"/>
                    </w:rPr>
                  </w:pPr>
                  <w:r w:rsidRPr="00151A5E">
                    <w:rPr>
                      <w:b/>
                      <w:bCs/>
                      <w:sz w:val="20"/>
                      <w:szCs w:val="20"/>
                    </w:rPr>
                    <w:t xml:space="preserve">Transfer to a detention center within district. </w:t>
                  </w:r>
                  <w:r w:rsidRPr="00151A5E">
                    <w:rPr>
                      <w:sz w:val="20"/>
                      <w:szCs w:val="20"/>
                    </w:rPr>
                    <w:t xml:space="preserve">A student whose educational services have moved from a public school to an educational program at a detention center within the district. School district staff members are providing </w:t>
                  </w:r>
                  <w:proofErr w:type="gramStart"/>
                  <w:r w:rsidRPr="00151A5E">
                    <w:rPr>
                      <w:sz w:val="20"/>
                      <w:szCs w:val="20"/>
                    </w:rPr>
                    <w:t>the educational</w:t>
                  </w:r>
                  <w:proofErr w:type="gramEnd"/>
                  <w:r w:rsidRPr="00151A5E">
                    <w:rPr>
                      <w:sz w:val="20"/>
                      <w:szCs w:val="20"/>
                    </w:rPr>
                    <w:t xml:space="preserve"> services at the detention center. </w:t>
                  </w:r>
                </w:p>
                <w:p w14:paraId="7EF6A9AA" w14:textId="77777777" w:rsidR="00054455" w:rsidRPr="00151A5E" w:rsidRDefault="00054455" w:rsidP="006250B2">
                  <w:pPr>
                    <w:rPr>
                      <w:sz w:val="20"/>
                      <w:szCs w:val="20"/>
                    </w:rPr>
                  </w:pPr>
                  <w:r w:rsidRPr="00151A5E">
                    <w:rPr>
                      <w:b/>
                      <w:bCs/>
                      <w:sz w:val="20"/>
                      <w:szCs w:val="20"/>
                    </w:rPr>
                    <w:t xml:space="preserve">Detention Center List: https://cdeapps.cde.state.co.us/ade_detention_codes.htm </w:t>
                  </w:r>
                </w:p>
                <w:p w14:paraId="57D7D06C" w14:textId="77777777" w:rsidR="00054455" w:rsidRPr="00151A5E" w:rsidRDefault="00054455" w:rsidP="006250B2">
                  <w:pPr>
                    <w:rPr>
                      <w:sz w:val="20"/>
                      <w:szCs w:val="20"/>
                    </w:rPr>
                  </w:pPr>
                  <w:r w:rsidRPr="00151A5E">
                    <w:rPr>
                      <w:b/>
                      <w:bCs/>
                      <w:sz w:val="20"/>
                      <w:szCs w:val="20"/>
                    </w:rPr>
                    <w:t xml:space="preserve">Note: </w:t>
                  </w:r>
                  <w:r w:rsidRPr="00151A5E">
                    <w:rPr>
                      <w:sz w:val="20"/>
                      <w:szCs w:val="20"/>
                    </w:rPr>
                    <w:t xml:space="preserve">There are currently only 9 districts that operate detention centers. Only those 9 districts may use this exit code. </w:t>
                  </w:r>
                </w:p>
              </w:tc>
            </w:tr>
          </w:tbl>
          <w:p w14:paraId="441EDB1B" w14:textId="77777777" w:rsidR="00054455" w:rsidRPr="00B92D2C" w:rsidRDefault="00054455" w:rsidP="006250B2">
            <w:pPr>
              <w:rPr>
                <w:sz w:val="20"/>
                <w:szCs w:val="20"/>
              </w:rPr>
            </w:pPr>
          </w:p>
        </w:tc>
        <w:tc>
          <w:tcPr>
            <w:tcW w:w="720" w:type="dxa"/>
            <w:vAlign w:val="center"/>
          </w:tcPr>
          <w:p w14:paraId="6EC868F5" w14:textId="77777777" w:rsidR="00054455" w:rsidRPr="00B92D2C" w:rsidRDefault="00054455" w:rsidP="006250B2">
            <w:pPr>
              <w:jc w:val="center"/>
              <w:rPr>
                <w:sz w:val="20"/>
                <w:szCs w:val="20"/>
              </w:rPr>
            </w:pPr>
            <w:r>
              <w:rPr>
                <w:sz w:val="20"/>
                <w:szCs w:val="20"/>
              </w:rPr>
              <w:t>12</w:t>
            </w:r>
          </w:p>
        </w:tc>
        <w:tc>
          <w:tcPr>
            <w:tcW w:w="3865" w:type="dxa"/>
            <w:vAlign w:val="center"/>
          </w:tcPr>
          <w:p w14:paraId="196F6A27" w14:textId="77777777" w:rsidR="00054455" w:rsidRPr="00054455" w:rsidRDefault="00054455" w:rsidP="006250B2">
            <w:pPr>
              <w:pStyle w:val="Default"/>
              <w:rPr>
                <w:rFonts w:ascii="Arial" w:hAnsi="Arial" w:cs="Arial"/>
                <w:color w:val="767171" w:themeColor="background2" w:themeShade="80"/>
                <w:sz w:val="20"/>
                <w:szCs w:val="20"/>
              </w:rPr>
            </w:pPr>
            <w:r w:rsidRPr="00054455">
              <w:rPr>
                <w:rFonts w:ascii="Arial" w:hAnsi="Arial" w:cs="Arial"/>
                <w:color w:val="767171" w:themeColor="background2" w:themeShade="80"/>
                <w:sz w:val="20"/>
                <w:szCs w:val="20"/>
              </w:rPr>
              <w:t xml:space="preserve">Not used in Special Education because the student remains in a special education program </w:t>
            </w:r>
          </w:p>
          <w:p w14:paraId="62482A6A" w14:textId="77777777" w:rsidR="00054455" w:rsidRPr="00B92D2C" w:rsidRDefault="00054455" w:rsidP="006250B2">
            <w:pPr>
              <w:rPr>
                <w:sz w:val="20"/>
                <w:szCs w:val="20"/>
              </w:rPr>
            </w:pPr>
          </w:p>
        </w:tc>
      </w:tr>
      <w:tr w:rsidR="00054455" w14:paraId="3ED2F315" w14:textId="77777777" w:rsidTr="006250B2">
        <w:tc>
          <w:tcPr>
            <w:tcW w:w="686" w:type="dxa"/>
            <w:vAlign w:val="center"/>
          </w:tcPr>
          <w:p w14:paraId="0333EA71" w14:textId="77777777" w:rsidR="00054455" w:rsidRPr="00B92D2C" w:rsidRDefault="00054455" w:rsidP="006250B2">
            <w:pPr>
              <w:jc w:val="center"/>
              <w:rPr>
                <w:sz w:val="20"/>
                <w:szCs w:val="20"/>
              </w:rPr>
            </w:pPr>
            <w:r>
              <w:rPr>
                <w:sz w:val="20"/>
                <w:szCs w:val="20"/>
              </w:rPr>
              <w:t>19</w:t>
            </w:r>
          </w:p>
        </w:tc>
        <w:tc>
          <w:tcPr>
            <w:tcW w:w="4079" w:type="dxa"/>
            <w:vAlign w:val="center"/>
          </w:tcPr>
          <w:p w14:paraId="79B5B5AF" w14:textId="77777777" w:rsidR="00054455" w:rsidRPr="00000420" w:rsidRDefault="00054455" w:rsidP="006250B2">
            <w:pPr>
              <w:rPr>
                <w:b/>
                <w:bCs/>
                <w:sz w:val="20"/>
                <w:szCs w:val="20"/>
              </w:rPr>
            </w:pPr>
            <w:r>
              <w:rPr>
                <w:b/>
                <w:bCs/>
                <w:sz w:val="20"/>
                <w:szCs w:val="20"/>
              </w:rPr>
              <w:t>Transfer to a Licensed Eligible Approved Facility School or State Operated Program and is attending an on-</w:t>
            </w:r>
            <w:proofErr w:type="gramStart"/>
            <w:r>
              <w:rPr>
                <w:b/>
                <w:bCs/>
                <w:sz w:val="20"/>
                <w:szCs w:val="20"/>
              </w:rPr>
              <w:t>grounds</w:t>
            </w:r>
            <w:proofErr w:type="gramEnd"/>
            <w:r>
              <w:rPr>
                <w:b/>
                <w:bCs/>
                <w:sz w:val="20"/>
                <w:szCs w:val="20"/>
              </w:rPr>
              <w:t xml:space="preserve"> school - </w:t>
            </w:r>
          </w:p>
          <w:p w14:paraId="4B07E31A" w14:textId="77777777" w:rsidR="00054455" w:rsidRPr="00000420" w:rsidRDefault="00054455" w:rsidP="006250B2">
            <w:pPr>
              <w:pStyle w:val="Default"/>
              <w:rPr>
                <w:rFonts w:ascii="Arial" w:hAnsi="Arial" w:cs="Arial"/>
                <w:sz w:val="20"/>
                <w:szCs w:val="20"/>
              </w:rPr>
            </w:pPr>
            <w:proofErr w:type="gramStart"/>
            <w:r w:rsidRPr="00000420">
              <w:rPr>
                <w:rFonts w:ascii="Arial" w:hAnsi="Arial" w:cs="Arial"/>
                <w:sz w:val="20"/>
                <w:szCs w:val="20"/>
              </w:rPr>
              <w:t>Student is</w:t>
            </w:r>
            <w:proofErr w:type="gramEnd"/>
            <w:r w:rsidRPr="00000420">
              <w:rPr>
                <w:rFonts w:ascii="Arial" w:hAnsi="Arial" w:cs="Arial"/>
                <w:sz w:val="20"/>
                <w:szCs w:val="20"/>
              </w:rPr>
              <w:t xml:space="preserve"> publicly placed in </w:t>
            </w:r>
            <w:r w:rsidRPr="00000420">
              <w:rPr>
                <w:rFonts w:ascii="Arial" w:hAnsi="Arial" w:cs="Arial"/>
                <w:b/>
                <w:bCs/>
                <w:sz w:val="20"/>
                <w:szCs w:val="20"/>
              </w:rPr>
              <w:t xml:space="preserve">and </w:t>
            </w:r>
            <w:r w:rsidRPr="00000420">
              <w:rPr>
                <w:rFonts w:ascii="Arial" w:hAnsi="Arial" w:cs="Arial"/>
                <w:sz w:val="20"/>
                <w:szCs w:val="20"/>
              </w:rPr>
              <w:t xml:space="preserve">is attending an on-grounds educational program in a licensed Approved Facility School (E.g. Residential Child Care Facility, hospital), or in a state-operated program (e.g. Colorado School for Deaf and Blind, Pueblo Mental Health). </w:t>
            </w:r>
          </w:p>
          <w:p w14:paraId="08A035D7" w14:textId="77777777" w:rsidR="00054455" w:rsidRPr="00000420" w:rsidRDefault="00054455" w:rsidP="006250B2">
            <w:pPr>
              <w:rPr>
                <w:b/>
                <w:bCs/>
                <w:sz w:val="20"/>
                <w:szCs w:val="20"/>
              </w:rPr>
            </w:pPr>
          </w:p>
        </w:tc>
        <w:tc>
          <w:tcPr>
            <w:tcW w:w="720" w:type="dxa"/>
            <w:vAlign w:val="center"/>
          </w:tcPr>
          <w:p w14:paraId="053E20F9" w14:textId="77777777" w:rsidR="00054455" w:rsidRPr="00B92D2C" w:rsidRDefault="00054455" w:rsidP="006250B2">
            <w:pPr>
              <w:jc w:val="center"/>
              <w:rPr>
                <w:sz w:val="20"/>
                <w:szCs w:val="20"/>
              </w:rPr>
            </w:pPr>
            <w:r>
              <w:rPr>
                <w:sz w:val="20"/>
                <w:szCs w:val="20"/>
              </w:rPr>
              <w:t>19</w:t>
            </w:r>
          </w:p>
        </w:tc>
        <w:tc>
          <w:tcPr>
            <w:tcW w:w="3865" w:type="dxa"/>
            <w:vAlign w:val="center"/>
          </w:tcPr>
          <w:p w14:paraId="3B8395D9" w14:textId="77777777" w:rsidR="00054455" w:rsidRPr="00054455" w:rsidRDefault="00054455" w:rsidP="006250B2">
            <w:pPr>
              <w:pStyle w:val="Default"/>
              <w:rPr>
                <w:rFonts w:ascii="Arial" w:hAnsi="Arial" w:cs="Arial"/>
                <w:color w:val="767171" w:themeColor="background2" w:themeShade="80"/>
                <w:sz w:val="20"/>
                <w:szCs w:val="20"/>
              </w:rPr>
            </w:pPr>
            <w:r w:rsidRPr="00054455">
              <w:rPr>
                <w:rFonts w:ascii="Arial" w:hAnsi="Arial" w:cs="Arial"/>
                <w:color w:val="767171" w:themeColor="background2" w:themeShade="80"/>
                <w:sz w:val="20"/>
                <w:szCs w:val="20"/>
              </w:rPr>
              <w:t xml:space="preserve">Not used in Special Education because the student remains in a special education program </w:t>
            </w:r>
          </w:p>
          <w:p w14:paraId="421871CF" w14:textId="77777777" w:rsidR="00054455" w:rsidRPr="00B92D2C" w:rsidRDefault="00054455" w:rsidP="006250B2">
            <w:pPr>
              <w:rPr>
                <w:sz w:val="20"/>
                <w:szCs w:val="20"/>
              </w:rPr>
            </w:pPr>
          </w:p>
        </w:tc>
      </w:tr>
      <w:tr w:rsidR="00054455" w14:paraId="7904C3BD" w14:textId="77777777" w:rsidTr="006250B2">
        <w:tc>
          <w:tcPr>
            <w:tcW w:w="686" w:type="dxa"/>
            <w:vAlign w:val="center"/>
          </w:tcPr>
          <w:p w14:paraId="3DC44126" w14:textId="77777777" w:rsidR="00054455" w:rsidRPr="00B92D2C" w:rsidRDefault="00054455" w:rsidP="006250B2">
            <w:pPr>
              <w:jc w:val="center"/>
              <w:rPr>
                <w:sz w:val="20"/>
                <w:szCs w:val="20"/>
              </w:rPr>
            </w:pPr>
            <w:r>
              <w:rPr>
                <w:sz w:val="20"/>
                <w:szCs w:val="20"/>
              </w:rPr>
              <w:t>20</w:t>
            </w:r>
          </w:p>
        </w:tc>
        <w:tc>
          <w:tcPr>
            <w:tcW w:w="4079" w:type="dxa"/>
            <w:vAlign w:val="center"/>
          </w:tcPr>
          <w:p w14:paraId="2D042473" w14:textId="77777777" w:rsidR="00054455" w:rsidRPr="004973E1" w:rsidRDefault="00054455" w:rsidP="006250B2">
            <w:pPr>
              <w:rPr>
                <w:b/>
                <w:bCs/>
                <w:sz w:val="20"/>
                <w:szCs w:val="20"/>
              </w:rPr>
            </w:pPr>
            <w:r>
              <w:rPr>
                <w:b/>
                <w:bCs/>
                <w:sz w:val="20"/>
                <w:szCs w:val="20"/>
              </w:rPr>
              <w:t xml:space="preserve">Transfer to a facility administered by the district. </w:t>
            </w:r>
            <w:r w:rsidRPr="004973E1">
              <w:rPr>
                <w:sz w:val="20"/>
                <w:szCs w:val="20"/>
              </w:rPr>
              <w:t>A student whose educational services have moved from a public school to an educational program at a facility within the school district. The educational program in the facility is administered by the district. NOTE: At present, only four districts in the state maintain such facilities.</w:t>
            </w:r>
          </w:p>
        </w:tc>
        <w:tc>
          <w:tcPr>
            <w:tcW w:w="720" w:type="dxa"/>
            <w:vAlign w:val="center"/>
          </w:tcPr>
          <w:p w14:paraId="12F71ADC" w14:textId="77777777" w:rsidR="00054455" w:rsidRPr="00B92D2C" w:rsidRDefault="00054455" w:rsidP="006250B2">
            <w:pPr>
              <w:jc w:val="center"/>
              <w:rPr>
                <w:sz w:val="20"/>
                <w:szCs w:val="20"/>
              </w:rPr>
            </w:pPr>
            <w:r>
              <w:rPr>
                <w:sz w:val="20"/>
                <w:szCs w:val="20"/>
              </w:rPr>
              <w:t>20</w:t>
            </w:r>
          </w:p>
        </w:tc>
        <w:tc>
          <w:tcPr>
            <w:tcW w:w="3865" w:type="dxa"/>
            <w:vAlign w:val="center"/>
          </w:tcPr>
          <w:p w14:paraId="2CCE1D8D" w14:textId="77777777" w:rsidR="00054455" w:rsidRPr="00054455" w:rsidRDefault="00054455" w:rsidP="006250B2">
            <w:pPr>
              <w:pStyle w:val="Default"/>
              <w:rPr>
                <w:rFonts w:ascii="Arial" w:hAnsi="Arial" w:cs="Arial"/>
                <w:color w:val="767171" w:themeColor="background2" w:themeShade="80"/>
                <w:sz w:val="20"/>
                <w:szCs w:val="20"/>
              </w:rPr>
            </w:pPr>
            <w:r w:rsidRPr="00054455">
              <w:rPr>
                <w:rFonts w:ascii="Arial" w:hAnsi="Arial" w:cs="Arial"/>
                <w:color w:val="767171" w:themeColor="background2" w:themeShade="80"/>
                <w:sz w:val="20"/>
                <w:szCs w:val="20"/>
              </w:rPr>
              <w:t xml:space="preserve">Not used in Special Education because the student remains in a special education program </w:t>
            </w:r>
          </w:p>
          <w:p w14:paraId="7A506377" w14:textId="77777777" w:rsidR="00054455" w:rsidRPr="00B92D2C" w:rsidRDefault="00054455" w:rsidP="006250B2">
            <w:pPr>
              <w:rPr>
                <w:sz w:val="20"/>
                <w:szCs w:val="20"/>
              </w:rPr>
            </w:pPr>
          </w:p>
        </w:tc>
      </w:tr>
      <w:tr w:rsidR="00054455" w14:paraId="4AF79231" w14:textId="77777777" w:rsidTr="006250B2">
        <w:tc>
          <w:tcPr>
            <w:tcW w:w="686" w:type="dxa"/>
            <w:vAlign w:val="center"/>
          </w:tcPr>
          <w:p w14:paraId="46D61F13" w14:textId="77777777" w:rsidR="00054455" w:rsidRPr="00B92D2C" w:rsidRDefault="00054455" w:rsidP="006250B2">
            <w:pPr>
              <w:jc w:val="center"/>
              <w:rPr>
                <w:sz w:val="20"/>
                <w:szCs w:val="20"/>
              </w:rPr>
            </w:pPr>
            <w:r>
              <w:rPr>
                <w:sz w:val="20"/>
                <w:szCs w:val="20"/>
              </w:rPr>
              <w:t>22</w:t>
            </w:r>
          </w:p>
        </w:tc>
        <w:tc>
          <w:tcPr>
            <w:tcW w:w="4079" w:type="dxa"/>
            <w:vAlign w:val="center"/>
          </w:tcPr>
          <w:p w14:paraId="1F72E7A8" w14:textId="77777777" w:rsidR="00054455" w:rsidRPr="00B92D2C" w:rsidRDefault="00054455" w:rsidP="006250B2">
            <w:pPr>
              <w:rPr>
                <w:sz w:val="20"/>
                <w:szCs w:val="20"/>
              </w:rPr>
            </w:pPr>
            <w:proofErr w:type="gramStart"/>
            <w:r w:rsidRPr="004973E1">
              <w:rPr>
                <w:b/>
                <w:bCs/>
                <w:sz w:val="20"/>
                <w:szCs w:val="20"/>
              </w:rPr>
              <w:t>Student</w:t>
            </w:r>
            <w:proofErr w:type="gramEnd"/>
            <w:r w:rsidRPr="004973E1">
              <w:rPr>
                <w:b/>
                <w:bCs/>
                <w:sz w:val="20"/>
                <w:szCs w:val="20"/>
              </w:rPr>
              <w:t xml:space="preserve"> exited the district after previously being erroneously coded as a graduate in a prior year.</w:t>
            </w:r>
            <w:r w:rsidRPr="004973E1">
              <w:rPr>
                <w:sz w:val="20"/>
                <w:szCs w:val="20"/>
              </w:rPr>
              <w:t xml:space="preserve"> These students must have entry type 90 or 91 (re-entry after being coded as a graduate in a prior year). This exit code removes the student from both the numerator and denominator for </w:t>
            </w:r>
            <w:proofErr w:type="gramStart"/>
            <w:r w:rsidRPr="004973E1">
              <w:rPr>
                <w:sz w:val="20"/>
                <w:szCs w:val="20"/>
              </w:rPr>
              <w:t>the graduation</w:t>
            </w:r>
            <w:proofErr w:type="gramEnd"/>
            <w:r w:rsidRPr="004973E1">
              <w:rPr>
                <w:sz w:val="20"/>
                <w:szCs w:val="20"/>
              </w:rPr>
              <w:t xml:space="preserve"> and completion rates to prohibit one student from counting as a completer/graduate in multiple cohorts.</w:t>
            </w:r>
          </w:p>
        </w:tc>
        <w:tc>
          <w:tcPr>
            <w:tcW w:w="720" w:type="dxa"/>
            <w:vAlign w:val="center"/>
          </w:tcPr>
          <w:p w14:paraId="162DE403" w14:textId="77777777" w:rsidR="00054455" w:rsidRPr="00B92D2C" w:rsidRDefault="00054455" w:rsidP="006250B2">
            <w:pPr>
              <w:jc w:val="center"/>
              <w:rPr>
                <w:sz w:val="20"/>
                <w:szCs w:val="20"/>
              </w:rPr>
            </w:pPr>
            <w:r>
              <w:rPr>
                <w:sz w:val="20"/>
                <w:szCs w:val="20"/>
              </w:rPr>
              <w:t>22</w:t>
            </w:r>
          </w:p>
        </w:tc>
        <w:tc>
          <w:tcPr>
            <w:tcW w:w="3865" w:type="dxa"/>
            <w:vAlign w:val="center"/>
          </w:tcPr>
          <w:p w14:paraId="7991019B" w14:textId="77777777" w:rsidR="00054455" w:rsidRPr="00B92D2C" w:rsidRDefault="00054455" w:rsidP="006250B2">
            <w:pPr>
              <w:rPr>
                <w:sz w:val="20"/>
                <w:szCs w:val="20"/>
              </w:rPr>
            </w:pPr>
            <w:r w:rsidRPr="00054455">
              <w:rPr>
                <w:color w:val="767171" w:themeColor="background2" w:themeShade="80"/>
                <w:sz w:val="20"/>
                <w:szCs w:val="20"/>
              </w:rPr>
              <w:t>Not used in Special Education because the student has the exit code 90 or 91</w:t>
            </w:r>
          </w:p>
        </w:tc>
      </w:tr>
      <w:tr w:rsidR="00054455" w14:paraId="4184EA64" w14:textId="77777777" w:rsidTr="006250B2">
        <w:tc>
          <w:tcPr>
            <w:tcW w:w="686" w:type="dxa"/>
            <w:vAlign w:val="center"/>
          </w:tcPr>
          <w:p w14:paraId="16B03772" w14:textId="77777777" w:rsidR="00054455" w:rsidRPr="00B92D2C" w:rsidRDefault="00054455" w:rsidP="006250B2">
            <w:pPr>
              <w:jc w:val="center"/>
              <w:rPr>
                <w:sz w:val="20"/>
                <w:szCs w:val="20"/>
              </w:rPr>
            </w:pPr>
            <w:r>
              <w:rPr>
                <w:sz w:val="20"/>
                <w:szCs w:val="20"/>
              </w:rPr>
              <w:t>25</w:t>
            </w:r>
          </w:p>
        </w:tc>
        <w:tc>
          <w:tcPr>
            <w:tcW w:w="4079" w:type="dxa"/>
            <w:vAlign w:val="center"/>
          </w:tcPr>
          <w:p w14:paraId="014BDB7F" w14:textId="77777777" w:rsidR="00054455" w:rsidRPr="00B92D2C" w:rsidRDefault="00054455" w:rsidP="006250B2">
            <w:pPr>
              <w:rPr>
                <w:sz w:val="20"/>
                <w:szCs w:val="20"/>
              </w:rPr>
            </w:pPr>
            <w:r w:rsidRPr="004973E1">
              <w:rPr>
                <w:b/>
                <w:bCs/>
                <w:sz w:val="20"/>
                <w:szCs w:val="20"/>
              </w:rPr>
              <w:t>Extended absence.</w:t>
            </w:r>
            <w:r w:rsidRPr="004973E1">
              <w:rPr>
                <w:sz w:val="20"/>
                <w:szCs w:val="20"/>
              </w:rPr>
              <w:t xml:space="preserve"> </w:t>
            </w:r>
            <w:proofErr w:type="gramStart"/>
            <w:r w:rsidRPr="004973E1">
              <w:rPr>
                <w:sz w:val="20"/>
                <w:szCs w:val="20"/>
              </w:rPr>
              <w:t>Student is</w:t>
            </w:r>
            <w:proofErr w:type="gramEnd"/>
            <w:r w:rsidRPr="004973E1">
              <w:rPr>
                <w:sz w:val="20"/>
                <w:szCs w:val="20"/>
              </w:rPr>
              <w:t xml:space="preserve"> absent for 10 or more consecutive days of school. Applies whether the absence is excused or </w:t>
            </w:r>
            <w:r w:rsidRPr="004973E1">
              <w:rPr>
                <w:sz w:val="20"/>
                <w:szCs w:val="20"/>
              </w:rPr>
              <w:lastRenderedPageBreak/>
              <w:t xml:space="preserve">unexcused. </w:t>
            </w:r>
            <w:proofErr w:type="gramStart"/>
            <w:r w:rsidRPr="004973E1">
              <w:rPr>
                <w:sz w:val="20"/>
                <w:szCs w:val="20"/>
              </w:rPr>
              <w:t>Not</w:t>
            </w:r>
            <w:proofErr w:type="gramEnd"/>
            <w:r w:rsidRPr="004973E1">
              <w:rPr>
                <w:sz w:val="20"/>
                <w:szCs w:val="20"/>
              </w:rPr>
              <w:t xml:space="preserve"> applicable if the student attended another educational environment at any point during the absence. Used only to calculate mobility rates.</w:t>
            </w:r>
          </w:p>
        </w:tc>
        <w:tc>
          <w:tcPr>
            <w:tcW w:w="720" w:type="dxa"/>
            <w:vAlign w:val="center"/>
          </w:tcPr>
          <w:p w14:paraId="56304AC3" w14:textId="77777777" w:rsidR="00054455" w:rsidRPr="00B92D2C" w:rsidRDefault="00054455" w:rsidP="006250B2">
            <w:pPr>
              <w:jc w:val="center"/>
              <w:rPr>
                <w:sz w:val="20"/>
                <w:szCs w:val="20"/>
              </w:rPr>
            </w:pPr>
            <w:r>
              <w:rPr>
                <w:sz w:val="20"/>
                <w:szCs w:val="20"/>
              </w:rPr>
              <w:lastRenderedPageBreak/>
              <w:t>25</w:t>
            </w:r>
          </w:p>
        </w:tc>
        <w:tc>
          <w:tcPr>
            <w:tcW w:w="3865" w:type="dxa"/>
            <w:vAlign w:val="center"/>
          </w:tcPr>
          <w:p w14:paraId="15B0FA74" w14:textId="77777777" w:rsidR="00054455" w:rsidRPr="00B92D2C" w:rsidRDefault="00054455" w:rsidP="006250B2">
            <w:pPr>
              <w:rPr>
                <w:sz w:val="20"/>
                <w:szCs w:val="20"/>
              </w:rPr>
            </w:pPr>
            <w:r w:rsidRPr="00054455">
              <w:rPr>
                <w:color w:val="767171" w:themeColor="background2" w:themeShade="80"/>
                <w:sz w:val="20"/>
                <w:szCs w:val="20"/>
              </w:rPr>
              <w:t xml:space="preserve">Not used in Special Education because the Special Education EOY snapshot is </w:t>
            </w:r>
            <w:r w:rsidRPr="00054455">
              <w:rPr>
                <w:color w:val="767171" w:themeColor="background2" w:themeShade="80"/>
                <w:sz w:val="20"/>
                <w:szCs w:val="20"/>
              </w:rPr>
              <w:lastRenderedPageBreak/>
              <w:t>only looking at the student’s status at the very end of the school year</w:t>
            </w:r>
          </w:p>
        </w:tc>
      </w:tr>
      <w:tr w:rsidR="00054455" w14:paraId="3394ED86" w14:textId="77777777" w:rsidTr="006250B2">
        <w:tc>
          <w:tcPr>
            <w:tcW w:w="686" w:type="dxa"/>
            <w:vAlign w:val="center"/>
          </w:tcPr>
          <w:p w14:paraId="2320C54A" w14:textId="77777777" w:rsidR="00054455" w:rsidRPr="00B92D2C" w:rsidRDefault="00054455" w:rsidP="006250B2">
            <w:pPr>
              <w:jc w:val="center"/>
              <w:rPr>
                <w:sz w:val="20"/>
                <w:szCs w:val="20"/>
              </w:rPr>
            </w:pPr>
            <w:r>
              <w:rPr>
                <w:sz w:val="20"/>
                <w:szCs w:val="20"/>
              </w:rPr>
              <w:lastRenderedPageBreak/>
              <w:t>26</w:t>
            </w:r>
          </w:p>
        </w:tc>
        <w:tc>
          <w:tcPr>
            <w:tcW w:w="4079" w:type="dxa"/>
            <w:vAlign w:val="center"/>
          </w:tcPr>
          <w:p w14:paraId="3B3D5BE2" w14:textId="77777777" w:rsidR="00054455" w:rsidRPr="004973E1" w:rsidRDefault="00054455" w:rsidP="006250B2">
            <w:pPr>
              <w:rPr>
                <w:sz w:val="20"/>
                <w:szCs w:val="20"/>
              </w:rPr>
            </w:pPr>
            <w:r w:rsidRPr="004973E1">
              <w:rPr>
                <w:b/>
                <w:bCs/>
                <w:sz w:val="20"/>
                <w:szCs w:val="20"/>
              </w:rPr>
              <w:t>Transfer to a detention center (out of district).</w:t>
            </w:r>
            <w:r w:rsidRPr="004973E1">
              <w:rPr>
                <w:sz w:val="20"/>
                <w:szCs w:val="20"/>
              </w:rPr>
              <w:t xml:space="preserve"> A student whose educational services have moved from a public school to an educational program at a detention center. All districts may use this.</w:t>
            </w:r>
          </w:p>
          <w:p w14:paraId="3BFAC930" w14:textId="77777777" w:rsidR="00054455" w:rsidRPr="00B92D2C" w:rsidRDefault="00054455" w:rsidP="006250B2">
            <w:pPr>
              <w:rPr>
                <w:sz w:val="20"/>
                <w:szCs w:val="20"/>
              </w:rPr>
            </w:pPr>
            <w:r w:rsidRPr="004973E1">
              <w:rPr>
                <w:sz w:val="20"/>
                <w:szCs w:val="20"/>
              </w:rPr>
              <w:t>Detention Center List: http://www.cde.state.co.us/datapipeline/org_detention</w:t>
            </w:r>
          </w:p>
        </w:tc>
        <w:tc>
          <w:tcPr>
            <w:tcW w:w="720" w:type="dxa"/>
            <w:vAlign w:val="center"/>
          </w:tcPr>
          <w:p w14:paraId="1F051958" w14:textId="77777777" w:rsidR="00054455" w:rsidRPr="00B92D2C" w:rsidRDefault="00054455" w:rsidP="006250B2">
            <w:pPr>
              <w:jc w:val="center"/>
              <w:rPr>
                <w:sz w:val="20"/>
                <w:szCs w:val="20"/>
              </w:rPr>
            </w:pPr>
            <w:r>
              <w:rPr>
                <w:sz w:val="20"/>
                <w:szCs w:val="20"/>
              </w:rPr>
              <w:t>26</w:t>
            </w:r>
          </w:p>
        </w:tc>
        <w:tc>
          <w:tcPr>
            <w:tcW w:w="3865" w:type="dxa"/>
            <w:vAlign w:val="center"/>
          </w:tcPr>
          <w:p w14:paraId="21AA15D2" w14:textId="77777777" w:rsidR="00054455" w:rsidRPr="00054455" w:rsidRDefault="00054455" w:rsidP="006250B2">
            <w:pPr>
              <w:pStyle w:val="Default"/>
              <w:rPr>
                <w:rFonts w:ascii="Arial" w:hAnsi="Arial" w:cs="Arial"/>
                <w:color w:val="767171" w:themeColor="background2" w:themeShade="80"/>
                <w:sz w:val="20"/>
                <w:szCs w:val="20"/>
              </w:rPr>
            </w:pPr>
            <w:r w:rsidRPr="00054455">
              <w:rPr>
                <w:rFonts w:ascii="Arial" w:hAnsi="Arial" w:cs="Arial"/>
                <w:color w:val="767171" w:themeColor="background2" w:themeShade="80"/>
                <w:sz w:val="20"/>
                <w:szCs w:val="20"/>
              </w:rPr>
              <w:t xml:space="preserve">Not used in Special Education because the student remains in a special education program </w:t>
            </w:r>
          </w:p>
          <w:p w14:paraId="1513CC65" w14:textId="77777777" w:rsidR="00054455" w:rsidRPr="00B92D2C" w:rsidRDefault="00054455" w:rsidP="006250B2">
            <w:pPr>
              <w:rPr>
                <w:sz w:val="20"/>
                <w:szCs w:val="20"/>
              </w:rPr>
            </w:pPr>
          </w:p>
        </w:tc>
      </w:tr>
      <w:tr w:rsidR="00054455" w14:paraId="063D21F2" w14:textId="77777777" w:rsidTr="006250B2">
        <w:tc>
          <w:tcPr>
            <w:tcW w:w="4765" w:type="dxa"/>
            <w:gridSpan w:val="2"/>
            <w:shd w:val="clear" w:color="auto" w:fill="D0CECE" w:themeFill="background2" w:themeFillShade="E6"/>
            <w:vAlign w:val="center"/>
          </w:tcPr>
          <w:p w14:paraId="7368F54F" w14:textId="77777777" w:rsidR="00054455" w:rsidRPr="004973E1" w:rsidRDefault="00054455" w:rsidP="006250B2">
            <w:pPr>
              <w:rPr>
                <w:b/>
                <w:bCs/>
                <w:sz w:val="20"/>
                <w:szCs w:val="20"/>
              </w:rPr>
            </w:pPr>
            <w:r>
              <w:rPr>
                <w:b/>
                <w:bCs/>
                <w:sz w:val="20"/>
                <w:szCs w:val="20"/>
              </w:rPr>
              <w:t>Exit Codes – Other Withdrawals</w:t>
            </w:r>
          </w:p>
        </w:tc>
        <w:tc>
          <w:tcPr>
            <w:tcW w:w="4585" w:type="dxa"/>
            <w:gridSpan w:val="2"/>
            <w:shd w:val="clear" w:color="auto" w:fill="D0CECE" w:themeFill="background2" w:themeFillShade="E6"/>
            <w:vAlign w:val="center"/>
          </w:tcPr>
          <w:p w14:paraId="1C97CA6B" w14:textId="77777777" w:rsidR="00054455" w:rsidRPr="00B92D2C" w:rsidRDefault="00054455" w:rsidP="006250B2">
            <w:pPr>
              <w:rPr>
                <w:sz w:val="20"/>
                <w:szCs w:val="20"/>
              </w:rPr>
            </w:pPr>
            <w:r>
              <w:rPr>
                <w:b/>
                <w:bCs/>
                <w:sz w:val="20"/>
                <w:szCs w:val="20"/>
              </w:rPr>
              <w:t>Exit Codes – Other Withdrawals</w:t>
            </w:r>
          </w:p>
        </w:tc>
      </w:tr>
      <w:tr w:rsidR="00054455" w14:paraId="412B5ECD" w14:textId="77777777" w:rsidTr="006250B2">
        <w:tc>
          <w:tcPr>
            <w:tcW w:w="686" w:type="dxa"/>
            <w:vAlign w:val="center"/>
          </w:tcPr>
          <w:p w14:paraId="724C07CB" w14:textId="77777777" w:rsidR="00054455" w:rsidRDefault="00054455" w:rsidP="006250B2">
            <w:pPr>
              <w:jc w:val="center"/>
              <w:rPr>
                <w:sz w:val="20"/>
                <w:szCs w:val="20"/>
              </w:rPr>
            </w:pPr>
            <w:r>
              <w:rPr>
                <w:sz w:val="20"/>
                <w:szCs w:val="20"/>
              </w:rPr>
              <w:t>30</w:t>
            </w:r>
          </w:p>
        </w:tc>
        <w:tc>
          <w:tcPr>
            <w:tcW w:w="4079" w:type="dxa"/>
            <w:vAlign w:val="center"/>
          </w:tcPr>
          <w:p w14:paraId="69D3F081" w14:textId="77777777" w:rsidR="00054455" w:rsidRPr="004973E1" w:rsidRDefault="00054455" w:rsidP="006250B2">
            <w:pPr>
              <w:rPr>
                <w:b/>
                <w:bCs/>
                <w:sz w:val="20"/>
                <w:szCs w:val="20"/>
              </w:rPr>
            </w:pPr>
            <w:r w:rsidRPr="006E235A">
              <w:rPr>
                <w:b/>
                <w:bCs/>
                <w:sz w:val="20"/>
                <w:szCs w:val="20"/>
              </w:rPr>
              <w:t xml:space="preserve">Illness/Injury – </w:t>
            </w:r>
            <w:r w:rsidRPr="006E235A">
              <w:rPr>
                <w:sz w:val="20"/>
                <w:szCs w:val="20"/>
              </w:rPr>
              <w:t xml:space="preserve">A student who because of a serious/critical illness or injury was unable to complete this year’s educational program and is not receiving educational services through a home-bound program. This code should not be used for </w:t>
            </w:r>
            <w:proofErr w:type="gramStart"/>
            <w:r w:rsidRPr="006E235A">
              <w:rPr>
                <w:sz w:val="20"/>
                <w:szCs w:val="20"/>
              </w:rPr>
              <w:t>exit</w:t>
            </w:r>
            <w:proofErr w:type="gramEnd"/>
            <w:r w:rsidRPr="006E235A">
              <w:rPr>
                <w:sz w:val="20"/>
                <w:szCs w:val="20"/>
              </w:rPr>
              <w:t xml:space="preserve"> due to pregnancy/child-birth, or for “minor” illness or injury from which the student is expected to return before the end of the reported school year</w:t>
            </w:r>
          </w:p>
        </w:tc>
        <w:tc>
          <w:tcPr>
            <w:tcW w:w="720" w:type="dxa"/>
            <w:vAlign w:val="center"/>
          </w:tcPr>
          <w:p w14:paraId="02BE6526" w14:textId="77777777" w:rsidR="00054455" w:rsidRDefault="00054455" w:rsidP="006250B2">
            <w:pPr>
              <w:jc w:val="center"/>
              <w:rPr>
                <w:sz w:val="20"/>
                <w:szCs w:val="20"/>
              </w:rPr>
            </w:pPr>
            <w:r>
              <w:rPr>
                <w:sz w:val="20"/>
                <w:szCs w:val="20"/>
              </w:rPr>
              <w:t>30</w:t>
            </w:r>
          </w:p>
        </w:tc>
        <w:tc>
          <w:tcPr>
            <w:tcW w:w="3865" w:type="dxa"/>
            <w:vAlign w:val="center"/>
          </w:tcPr>
          <w:p w14:paraId="5D3B25F0" w14:textId="77777777" w:rsidR="00054455" w:rsidRPr="00054455" w:rsidRDefault="00054455" w:rsidP="006250B2">
            <w:pPr>
              <w:rPr>
                <w:b/>
                <w:bCs/>
                <w:color w:val="767171" w:themeColor="background2" w:themeShade="80"/>
                <w:sz w:val="20"/>
                <w:szCs w:val="20"/>
              </w:rPr>
            </w:pPr>
            <w:r w:rsidRPr="00054455">
              <w:rPr>
                <w:color w:val="767171" w:themeColor="background2" w:themeShade="80"/>
                <w:sz w:val="20"/>
                <w:szCs w:val="20"/>
              </w:rPr>
              <w:t>Not used in Special Education. This code is not intended for use at the end of the school year, only for withdrawal in the middle of the year. Because Special Education EOY is only concerned with the student’s status at the end of the year, this code is not appropriate.</w:t>
            </w:r>
          </w:p>
        </w:tc>
      </w:tr>
      <w:tr w:rsidR="00054455" w14:paraId="2AEDDBD7" w14:textId="77777777" w:rsidTr="006250B2">
        <w:tc>
          <w:tcPr>
            <w:tcW w:w="686" w:type="dxa"/>
            <w:vAlign w:val="center"/>
          </w:tcPr>
          <w:p w14:paraId="37E0BD8F" w14:textId="77777777" w:rsidR="00054455" w:rsidRDefault="00054455" w:rsidP="006250B2">
            <w:pPr>
              <w:jc w:val="center"/>
              <w:rPr>
                <w:sz w:val="20"/>
                <w:szCs w:val="20"/>
              </w:rPr>
            </w:pPr>
            <w:r>
              <w:rPr>
                <w:sz w:val="20"/>
                <w:szCs w:val="20"/>
              </w:rPr>
              <w:t>45</w:t>
            </w:r>
          </w:p>
        </w:tc>
        <w:tc>
          <w:tcPr>
            <w:tcW w:w="4079" w:type="dxa"/>
            <w:vAlign w:val="center"/>
          </w:tcPr>
          <w:p w14:paraId="43D4DDAE" w14:textId="77777777" w:rsidR="00054455" w:rsidRPr="004973E1" w:rsidRDefault="00054455" w:rsidP="006250B2">
            <w:pPr>
              <w:rPr>
                <w:b/>
                <w:bCs/>
                <w:sz w:val="20"/>
                <w:szCs w:val="20"/>
              </w:rPr>
            </w:pPr>
            <w:proofErr w:type="gramStart"/>
            <w:r w:rsidRPr="006E235A">
              <w:rPr>
                <w:b/>
                <w:bCs/>
                <w:sz w:val="20"/>
                <w:szCs w:val="20"/>
              </w:rPr>
              <w:t>Student</w:t>
            </w:r>
            <w:proofErr w:type="gramEnd"/>
            <w:r w:rsidRPr="006E235A">
              <w:rPr>
                <w:b/>
                <w:bCs/>
                <w:sz w:val="20"/>
                <w:szCs w:val="20"/>
              </w:rPr>
              <w:t xml:space="preserve"> discontinued schooling for six weeks or </w:t>
            </w:r>
            <w:proofErr w:type="gramStart"/>
            <w:r w:rsidRPr="006E235A">
              <w:rPr>
                <w:b/>
                <w:bCs/>
                <w:sz w:val="20"/>
                <w:szCs w:val="20"/>
              </w:rPr>
              <w:t>longer, but</w:t>
            </w:r>
            <w:proofErr w:type="gramEnd"/>
            <w:r w:rsidRPr="006E235A">
              <w:rPr>
                <w:b/>
                <w:bCs/>
                <w:sz w:val="20"/>
                <w:szCs w:val="20"/>
              </w:rPr>
              <w:t xml:space="preserve"> returned </w:t>
            </w:r>
            <w:r w:rsidRPr="006E235A">
              <w:rPr>
                <w:sz w:val="20"/>
                <w:szCs w:val="20"/>
              </w:rPr>
              <w:t>to a school within the reporting district before the end of the reported school year. These students were not receiving educational services from any source while not in attendance. This code should not be used for students absent due to illness, injury or expulsion – these situations are covered under separate exit type codes. Note: Students reported with exit type 45 do not count toward the calculated annual dropout rate.</w:t>
            </w:r>
          </w:p>
        </w:tc>
        <w:tc>
          <w:tcPr>
            <w:tcW w:w="720" w:type="dxa"/>
            <w:vAlign w:val="center"/>
          </w:tcPr>
          <w:p w14:paraId="58494808" w14:textId="77777777" w:rsidR="00054455" w:rsidRDefault="00054455" w:rsidP="006250B2">
            <w:pPr>
              <w:jc w:val="center"/>
              <w:rPr>
                <w:sz w:val="20"/>
                <w:szCs w:val="20"/>
              </w:rPr>
            </w:pPr>
            <w:r>
              <w:rPr>
                <w:sz w:val="20"/>
                <w:szCs w:val="20"/>
              </w:rPr>
              <w:t>45</w:t>
            </w:r>
          </w:p>
        </w:tc>
        <w:tc>
          <w:tcPr>
            <w:tcW w:w="3865" w:type="dxa"/>
            <w:vAlign w:val="center"/>
          </w:tcPr>
          <w:p w14:paraId="0E5D435C" w14:textId="77777777" w:rsidR="00054455" w:rsidRPr="003B21B0" w:rsidRDefault="00054455" w:rsidP="006250B2">
            <w:pPr>
              <w:rPr>
                <w:b/>
                <w:bCs/>
                <w:sz w:val="20"/>
                <w:szCs w:val="20"/>
              </w:rPr>
            </w:pPr>
            <w:r w:rsidRPr="00054455">
              <w:rPr>
                <w:color w:val="767171" w:themeColor="background2" w:themeShade="80"/>
                <w:sz w:val="20"/>
                <w:szCs w:val="20"/>
              </w:rPr>
              <w:t>Not used in Special Education, since the student returned, they would be in special education at the end of the year.</w:t>
            </w:r>
          </w:p>
        </w:tc>
      </w:tr>
      <w:tr w:rsidR="00054455" w14:paraId="2D443551" w14:textId="77777777" w:rsidTr="006250B2">
        <w:tc>
          <w:tcPr>
            <w:tcW w:w="686" w:type="dxa"/>
            <w:vAlign w:val="center"/>
          </w:tcPr>
          <w:p w14:paraId="0217A286" w14:textId="77777777" w:rsidR="00054455" w:rsidRPr="00B92D2C" w:rsidRDefault="00054455" w:rsidP="006250B2">
            <w:pPr>
              <w:jc w:val="center"/>
              <w:rPr>
                <w:sz w:val="20"/>
                <w:szCs w:val="20"/>
              </w:rPr>
            </w:pPr>
            <w:r>
              <w:rPr>
                <w:sz w:val="20"/>
                <w:szCs w:val="20"/>
              </w:rPr>
              <w:t>50</w:t>
            </w:r>
          </w:p>
        </w:tc>
        <w:tc>
          <w:tcPr>
            <w:tcW w:w="4079" w:type="dxa"/>
            <w:vAlign w:val="center"/>
          </w:tcPr>
          <w:p w14:paraId="5FC292DE" w14:textId="77777777" w:rsidR="00054455" w:rsidRPr="00B92D2C" w:rsidRDefault="00054455" w:rsidP="006250B2">
            <w:pPr>
              <w:rPr>
                <w:sz w:val="20"/>
                <w:szCs w:val="20"/>
              </w:rPr>
            </w:pPr>
            <w:r w:rsidRPr="004973E1">
              <w:rPr>
                <w:b/>
                <w:bCs/>
                <w:sz w:val="20"/>
                <w:szCs w:val="20"/>
              </w:rPr>
              <w:t>Expulsion</w:t>
            </w:r>
            <w:r w:rsidRPr="004973E1">
              <w:rPr>
                <w:sz w:val="20"/>
                <w:szCs w:val="20"/>
              </w:rPr>
              <w:t xml:space="preserve"> – A student who leaves school involuntarily due to an expulsion approved by appropriate school authorities and is not receiving any education benefits while expelled. </w:t>
            </w:r>
            <w:r w:rsidRPr="003B21B0">
              <w:rPr>
                <w:b/>
                <w:bCs/>
                <w:sz w:val="20"/>
                <w:szCs w:val="20"/>
                <w:u w:val="single"/>
              </w:rPr>
              <w:t>Applies only to students who are expelled and do not return before the end of the reported school year.</w:t>
            </w:r>
          </w:p>
        </w:tc>
        <w:tc>
          <w:tcPr>
            <w:tcW w:w="720" w:type="dxa"/>
            <w:vAlign w:val="center"/>
          </w:tcPr>
          <w:p w14:paraId="46894496" w14:textId="77777777" w:rsidR="00054455" w:rsidRPr="00B92D2C" w:rsidRDefault="00054455" w:rsidP="006250B2">
            <w:pPr>
              <w:jc w:val="center"/>
              <w:rPr>
                <w:sz w:val="20"/>
                <w:szCs w:val="20"/>
              </w:rPr>
            </w:pPr>
            <w:r>
              <w:rPr>
                <w:sz w:val="20"/>
                <w:szCs w:val="20"/>
              </w:rPr>
              <w:t>50</w:t>
            </w:r>
          </w:p>
        </w:tc>
        <w:tc>
          <w:tcPr>
            <w:tcW w:w="3865" w:type="dxa"/>
            <w:vAlign w:val="center"/>
          </w:tcPr>
          <w:p w14:paraId="1B191B97" w14:textId="77777777" w:rsidR="00054455" w:rsidRPr="00B92D2C" w:rsidRDefault="00054455" w:rsidP="006250B2">
            <w:pPr>
              <w:rPr>
                <w:sz w:val="20"/>
                <w:szCs w:val="20"/>
              </w:rPr>
            </w:pPr>
            <w:r w:rsidRPr="003B21B0">
              <w:rPr>
                <w:b/>
                <w:bCs/>
                <w:sz w:val="20"/>
                <w:szCs w:val="20"/>
              </w:rPr>
              <w:t>Expulsion</w:t>
            </w:r>
            <w:r w:rsidRPr="003B21B0">
              <w:rPr>
                <w:sz w:val="20"/>
                <w:szCs w:val="20"/>
              </w:rPr>
              <w:t xml:space="preserve"> – A student who leaves school involuntarily due to an expulsion approved by appropriate school authorities and is not receiving any education benefits. </w:t>
            </w:r>
            <w:r w:rsidRPr="003B21B0">
              <w:rPr>
                <w:b/>
                <w:bCs/>
                <w:sz w:val="20"/>
                <w:szCs w:val="20"/>
                <w:u w:val="single"/>
              </w:rPr>
              <w:t>Students who receive education benefits (such as tutoring) during expulsion are not considered expelled/exited for EOY purposes.</w:t>
            </w:r>
          </w:p>
        </w:tc>
      </w:tr>
      <w:tr w:rsidR="00054455" w14:paraId="4807D03E" w14:textId="77777777" w:rsidTr="006250B2">
        <w:tc>
          <w:tcPr>
            <w:tcW w:w="686" w:type="dxa"/>
            <w:vAlign w:val="center"/>
          </w:tcPr>
          <w:p w14:paraId="2CBE2684" w14:textId="77777777" w:rsidR="00054455" w:rsidRPr="00B92D2C" w:rsidRDefault="00054455" w:rsidP="006250B2">
            <w:pPr>
              <w:jc w:val="center"/>
              <w:rPr>
                <w:sz w:val="20"/>
                <w:szCs w:val="20"/>
              </w:rPr>
            </w:pPr>
            <w:r>
              <w:rPr>
                <w:sz w:val="20"/>
                <w:szCs w:val="20"/>
              </w:rPr>
              <w:t>55</w:t>
            </w:r>
          </w:p>
        </w:tc>
        <w:tc>
          <w:tcPr>
            <w:tcW w:w="4079" w:type="dxa"/>
            <w:vAlign w:val="center"/>
          </w:tcPr>
          <w:p w14:paraId="15D85160" w14:textId="77777777" w:rsidR="00054455" w:rsidRPr="00B92D2C" w:rsidRDefault="00054455" w:rsidP="006250B2">
            <w:pPr>
              <w:rPr>
                <w:sz w:val="20"/>
                <w:szCs w:val="20"/>
              </w:rPr>
            </w:pPr>
            <w:r w:rsidRPr="003B21B0">
              <w:rPr>
                <w:b/>
                <w:bCs/>
                <w:sz w:val="20"/>
                <w:szCs w:val="20"/>
              </w:rPr>
              <w:t>Expelled without educational services and returned</w:t>
            </w:r>
            <w:r w:rsidRPr="003B21B0">
              <w:rPr>
                <w:sz w:val="20"/>
                <w:szCs w:val="20"/>
              </w:rPr>
              <w:t xml:space="preserve"> to a district school before the end of the reported school year</w:t>
            </w:r>
          </w:p>
        </w:tc>
        <w:tc>
          <w:tcPr>
            <w:tcW w:w="720" w:type="dxa"/>
            <w:vAlign w:val="center"/>
          </w:tcPr>
          <w:p w14:paraId="26B684ED" w14:textId="77777777" w:rsidR="00054455" w:rsidRPr="00B92D2C" w:rsidRDefault="00054455" w:rsidP="006250B2">
            <w:pPr>
              <w:jc w:val="center"/>
              <w:rPr>
                <w:sz w:val="20"/>
                <w:szCs w:val="20"/>
              </w:rPr>
            </w:pPr>
            <w:r>
              <w:rPr>
                <w:sz w:val="20"/>
                <w:szCs w:val="20"/>
              </w:rPr>
              <w:t>55</w:t>
            </w:r>
          </w:p>
        </w:tc>
        <w:tc>
          <w:tcPr>
            <w:tcW w:w="3865" w:type="dxa"/>
            <w:vAlign w:val="center"/>
          </w:tcPr>
          <w:p w14:paraId="431642A7" w14:textId="77777777" w:rsidR="00054455" w:rsidRPr="00B92D2C" w:rsidRDefault="00054455" w:rsidP="006250B2">
            <w:pPr>
              <w:rPr>
                <w:sz w:val="20"/>
                <w:szCs w:val="20"/>
              </w:rPr>
            </w:pPr>
            <w:r w:rsidRPr="00054455">
              <w:rPr>
                <w:color w:val="767171" w:themeColor="background2" w:themeShade="80"/>
                <w:sz w:val="20"/>
                <w:szCs w:val="20"/>
              </w:rPr>
              <w:t xml:space="preserve">Not used in Special Education EOY because the student returned and is currently in a special education program. This information is collected in </w:t>
            </w:r>
            <w:proofErr w:type="gramStart"/>
            <w:r w:rsidRPr="00054455">
              <w:rPr>
                <w:color w:val="767171" w:themeColor="background2" w:themeShade="80"/>
                <w:sz w:val="20"/>
                <w:szCs w:val="20"/>
              </w:rPr>
              <w:t>Special</w:t>
            </w:r>
            <w:proofErr w:type="gramEnd"/>
            <w:r w:rsidRPr="00054455">
              <w:rPr>
                <w:color w:val="767171" w:themeColor="background2" w:themeShade="80"/>
                <w:sz w:val="20"/>
                <w:szCs w:val="20"/>
              </w:rPr>
              <w:t xml:space="preserve"> Education Discipline.</w:t>
            </w:r>
          </w:p>
        </w:tc>
      </w:tr>
      <w:tr w:rsidR="00054455" w14:paraId="18BAE92D" w14:textId="77777777" w:rsidTr="006250B2">
        <w:tc>
          <w:tcPr>
            <w:tcW w:w="686" w:type="dxa"/>
            <w:vAlign w:val="center"/>
          </w:tcPr>
          <w:p w14:paraId="6ECCB09D" w14:textId="77777777" w:rsidR="00054455" w:rsidRPr="00B92D2C" w:rsidRDefault="00054455" w:rsidP="006250B2">
            <w:pPr>
              <w:jc w:val="center"/>
              <w:rPr>
                <w:sz w:val="20"/>
                <w:szCs w:val="20"/>
              </w:rPr>
            </w:pPr>
            <w:r>
              <w:rPr>
                <w:sz w:val="20"/>
                <w:szCs w:val="20"/>
              </w:rPr>
              <w:t>56</w:t>
            </w:r>
          </w:p>
        </w:tc>
        <w:tc>
          <w:tcPr>
            <w:tcW w:w="4079" w:type="dxa"/>
            <w:vAlign w:val="center"/>
          </w:tcPr>
          <w:p w14:paraId="3DA06BEC" w14:textId="77777777" w:rsidR="00054455" w:rsidRPr="00B92D2C" w:rsidRDefault="00054455" w:rsidP="006250B2">
            <w:pPr>
              <w:rPr>
                <w:sz w:val="20"/>
                <w:szCs w:val="20"/>
              </w:rPr>
            </w:pPr>
            <w:r w:rsidRPr="003B21B0">
              <w:rPr>
                <w:b/>
                <w:bCs/>
                <w:sz w:val="20"/>
                <w:szCs w:val="20"/>
              </w:rPr>
              <w:t>Expelled with educational services –</w:t>
            </w:r>
            <w:r w:rsidRPr="003B21B0">
              <w:rPr>
                <w:sz w:val="20"/>
                <w:szCs w:val="20"/>
              </w:rPr>
              <w:t xml:space="preserve"> student who is provided educational services by the district during a period of expulsion. These services may include tutoring, participation in an on-line </w:t>
            </w:r>
            <w:r w:rsidRPr="003B21B0">
              <w:rPr>
                <w:sz w:val="20"/>
                <w:szCs w:val="20"/>
              </w:rPr>
              <w:lastRenderedPageBreak/>
              <w:t>education program or school operated by the district, or placement in a designated expulsion program operated by the district.</w:t>
            </w:r>
          </w:p>
        </w:tc>
        <w:tc>
          <w:tcPr>
            <w:tcW w:w="720" w:type="dxa"/>
            <w:vAlign w:val="center"/>
          </w:tcPr>
          <w:p w14:paraId="4E59245C" w14:textId="77777777" w:rsidR="00054455" w:rsidRPr="00B92D2C" w:rsidRDefault="00054455" w:rsidP="006250B2">
            <w:pPr>
              <w:jc w:val="center"/>
              <w:rPr>
                <w:sz w:val="20"/>
                <w:szCs w:val="20"/>
              </w:rPr>
            </w:pPr>
            <w:r>
              <w:rPr>
                <w:sz w:val="20"/>
                <w:szCs w:val="20"/>
              </w:rPr>
              <w:lastRenderedPageBreak/>
              <w:t>56</w:t>
            </w:r>
          </w:p>
        </w:tc>
        <w:tc>
          <w:tcPr>
            <w:tcW w:w="3865" w:type="dxa"/>
            <w:vAlign w:val="center"/>
          </w:tcPr>
          <w:p w14:paraId="4CD4BF47" w14:textId="77777777" w:rsidR="00054455" w:rsidRPr="00054455" w:rsidRDefault="00054455" w:rsidP="006250B2">
            <w:pPr>
              <w:rPr>
                <w:color w:val="767171" w:themeColor="background2" w:themeShade="80"/>
                <w:sz w:val="20"/>
                <w:szCs w:val="20"/>
              </w:rPr>
            </w:pPr>
            <w:r w:rsidRPr="00054455">
              <w:rPr>
                <w:color w:val="767171" w:themeColor="background2" w:themeShade="80"/>
                <w:sz w:val="20"/>
                <w:szCs w:val="20"/>
              </w:rPr>
              <w:t xml:space="preserve">Not used in Special Education EOY because </w:t>
            </w:r>
            <w:proofErr w:type="gramStart"/>
            <w:r w:rsidRPr="00054455">
              <w:rPr>
                <w:color w:val="767171" w:themeColor="background2" w:themeShade="80"/>
                <w:sz w:val="20"/>
                <w:szCs w:val="20"/>
              </w:rPr>
              <w:t>student is</w:t>
            </w:r>
            <w:proofErr w:type="gramEnd"/>
            <w:r w:rsidRPr="00054455">
              <w:rPr>
                <w:color w:val="767171" w:themeColor="background2" w:themeShade="80"/>
                <w:sz w:val="20"/>
                <w:szCs w:val="20"/>
              </w:rPr>
              <w:t xml:space="preserve"> still receiving services. This information is collected in </w:t>
            </w:r>
            <w:proofErr w:type="gramStart"/>
            <w:r w:rsidRPr="00054455">
              <w:rPr>
                <w:color w:val="767171" w:themeColor="background2" w:themeShade="80"/>
                <w:sz w:val="20"/>
                <w:szCs w:val="20"/>
              </w:rPr>
              <w:t>Special</w:t>
            </w:r>
            <w:proofErr w:type="gramEnd"/>
            <w:r w:rsidRPr="00054455">
              <w:rPr>
                <w:color w:val="767171" w:themeColor="background2" w:themeShade="80"/>
                <w:sz w:val="20"/>
                <w:szCs w:val="20"/>
              </w:rPr>
              <w:t xml:space="preserve"> Education Discipline.</w:t>
            </w:r>
          </w:p>
        </w:tc>
      </w:tr>
      <w:tr w:rsidR="00054455" w14:paraId="0CFAAE52" w14:textId="77777777" w:rsidTr="006250B2">
        <w:tc>
          <w:tcPr>
            <w:tcW w:w="686" w:type="dxa"/>
            <w:vAlign w:val="center"/>
          </w:tcPr>
          <w:p w14:paraId="559029C7" w14:textId="77777777" w:rsidR="00054455" w:rsidRPr="00B92D2C" w:rsidRDefault="00054455" w:rsidP="006250B2">
            <w:pPr>
              <w:jc w:val="center"/>
              <w:rPr>
                <w:sz w:val="20"/>
                <w:szCs w:val="20"/>
              </w:rPr>
            </w:pPr>
            <w:r>
              <w:rPr>
                <w:sz w:val="20"/>
                <w:szCs w:val="20"/>
              </w:rPr>
              <w:t>60</w:t>
            </w:r>
          </w:p>
        </w:tc>
        <w:tc>
          <w:tcPr>
            <w:tcW w:w="4079" w:type="dxa"/>
            <w:vAlign w:val="center"/>
          </w:tcPr>
          <w:p w14:paraId="169FAD9C" w14:textId="77777777" w:rsidR="00054455" w:rsidRPr="00B92D2C" w:rsidRDefault="00054455" w:rsidP="006250B2">
            <w:pPr>
              <w:rPr>
                <w:sz w:val="20"/>
                <w:szCs w:val="20"/>
              </w:rPr>
            </w:pPr>
            <w:r w:rsidRPr="00054455">
              <w:rPr>
                <w:color w:val="767171" w:themeColor="background2" w:themeShade="80"/>
                <w:sz w:val="20"/>
                <w:szCs w:val="20"/>
              </w:rPr>
              <w:t>Not used in Student EOY</w:t>
            </w:r>
          </w:p>
        </w:tc>
        <w:tc>
          <w:tcPr>
            <w:tcW w:w="720" w:type="dxa"/>
            <w:vAlign w:val="center"/>
          </w:tcPr>
          <w:p w14:paraId="06D3E5E2" w14:textId="77777777" w:rsidR="00054455" w:rsidRPr="00B92D2C" w:rsidRDefault="00054455" w:rsidP="006250B2">
            <w:pPr>
              <w:jc w:val="center"/>
              <w:rPr>
                <w:sz w:val="20"/>
                <w:szCs w:val="20"/>
              </w:rPr>
            </w:pPr>
            <w:r>
              <w:rPr>
                <w:sz w:val="20"/>
                <w:szCs w:val="20"/>
              </w:rPr>
              <w:t>60</w:t>
            </w:r>
          </w:p>
        </w:tc>
        <w:tc>
          <w:tcPr>
            <w:tcW w:w="3865" w:type="dxa"/>
            <w:vAlign w:val="center"/>
          </w:tcPr>
          <w:p w14:paraId="0A26C906" w14:textId="77777777" w:rsidR="00054455" w:rsidRPr="00B92D2C" w:rsidRDefault="00054455" w:rsidP="006250B2">
            <w:pPr>
              <w:rPr>
                <w:sz w:val="20"/>
                <w:szCs w:val="20"/>
              </w:rPr>
            </w:pPr>
            <w:r w:rsidRPr="00F62304">
              <w:rPr>
                <w:b/>
                <w:bCs/>
                <w:sz w:val="20"/>
                <w:szCs w:val="20"/>
              </w:rPr>
              <w:t>Parent Revokes Consent for Services –</w:t>
            </w:r>
            <w:r w:rsidRPr="00F62304">
              <w:rPr>
                <w:sz w:val="20"/>
                <w:szCs w:val="20"/>
              </w:rPr>
              <w:t xml:space="preserve"> Subsequent to the initial provision of Special Education and related services, the parent revokes consent.</w:t>
            </w:r>
          </w:p>
        </w:tc>
      </w:tr>
      <w:tr w:rsidR="00054455" w14:paraId="38CB0F43" w14:textId="77777777" w:rsidTr="006250B2">
        <w:tc>
          <w:tcPr>
            <w:tcW w:w="4765" w:type="dxa"/>
            <w:gridSpan w:val="2"/>
            <w:shd w:val="clear" w:color="auto" w:fill="D0CECE" w:themeFill="background2" w:themeFillShade="E6"/>
            <w:vAlign w:val="center"/>
          </w:tcPr>
          <w:p w14:paraId="07FE29AD" w14:textId="77777777" w:rsidR="00054455" w:rsidRPr="003B21B0" w:rsidRDefault="00054455" w:rsidP="006250B2">
            <w:pPr>
              <w:rPr>
                <w:b/>
                <w:bCs/>
                <w:sz w:val="20"/>
                <w:szCs w:val="20"/>
              </w:rPr>
            </w:pPr>
            <w:r>
              <w:rPr>
                <w:b/>
                <w:bCs/>
                <w:sz w:val="20"/>
                <w:szCs w:val="20"/>
              </w:rPr>
              <w:t>Exit Codes – Graduating or Completing (9-12</w:t>
            </w:r>
            <w:r w:rsidRPr="003B21B0">
              <w:rPr>
                <w:b/>
                <w:bCs/>
                <w:sz w:val="20"/>
                <w:szCs w:val="20"/>
                <w:vertAlign w:val="superscript"/>
              </w:rPr>
              <w:t>th</w:t>
            </w:r>
            <w:r>
              <w:rPr>
                <w:b/>
                <w:bCs/>
                <w:sz w:val="20"/>
                <w:szCs w:val="20"/>
                <w:vertAlign w:val="superscript"/>
              </w:rPr>
              <w:t xml:space="preserve"> </w:t>
            </w:r>
            <w:r>
              <w:rPr>
                <w:b/>
                <w:bCs/>
                <w:sz w:val="20"/>
                <w:szCs w:val="20"/>
              </w:rPr>
              <w:t>Grades only)</w:t>
            </w:r>
          </w:p>
        </w:tc>
        <w:tc>
          <w:tcPr>
            <w:tcW w:w="4585" w:type="dxa"/>
            <w:gridSpan w:val="2"/>
            <w:shd w:val="clear" w:color="auto" w:fill="D0CECE" w:themeFill="background2" w:themeFillShade="E6"/>
            <w:vAlign w:val="center"/>
          </w:tcPr>
          <w:p w14:paraId="3C9199EE" w14:textId="77777777" w:rsidR="00054455" w:rsidRPr="00B92D2C" w:rsidRDefault="00054455" w:rsidP="006250B2">
            <w:pPr>
              <w:rPr>
                <w:sz w:val="20"/>
                <w:szCs w:val="20"/>
              </w:rPr>
            </w:pPr>
            <w:r>
              <w:rPr>
                <w:b/>
                <w:bCs/>
                <w:sz w:val="20"/>
                <w:szCs w:val="20"/>
              </w:rPr>
              <w:t>Exit Codes – Graduating or Completing (9-12</w:t>
            </w:r>
            <w:r w:rsidRPr="003B21B0">
              <w:rPr>
                <w:b/>
                <w:bCs/>
                <w:sz w:val="20"/>
                <w:szCs w:val="20"/>
                <w:vertAlign w:val="superscript"/>
              </w:rPr>
              <w:t>th</w:t>
            </w:r>
            <w:r>
              <w:rPr>
                <w:b/>
                <w:bCs/>
                <w:sz w:val="20"/>
                <w:szCs w:val="20"/>
                <w:vertAlign w:val="superscript"/>
              </w:rPr>
              <w:t xml:space="preserve"> </w:t>
            </w:r>
            <w:r>
              <w:rPr>
                <w:b/>
                <w:bCs/>
                <w:sz w:val="20"/>
                <w:szCs w:val="20"/>
              </w:rPr>
              <w:t>Grades only)</w:t>
            </w:r>
          </w:p>
        </w:tc>
      </w:tr>
      <w:tr w:rsidR="00054455" w14:paraId="71C5E7D3" w14:textId="77777777" w:rsidTr="006250B2">
        <w:tc>
          <w:tcPr>
            <w:tcW w:w="686" w:type="dxa"/>
            <w:vAlign w:val="center"/>
          </w:tcPr>
          <w:p w14:paraId="611541F9" w14:textId="77777777" w:rsidR="00054455" w:rsidRPr="00B92D2C" w:rsidRDefault="00054455" w:rsidP="006250B2">
            <w:pPr>
              <w:jc w:val="center"/>
              <w:rPr>
                <w:sz w:val="20"/>
                <w:szCs w:val="20"/>
              </w:rPr>
            </w:pPr>
            <w:r>
              <w:rPr>
                <w:sz w:val="20"/>
                <w:szCs w:val="20"/>
              </w:rPr>
              <w:t>95</w:t>
            </w:r>
          </w:p>
        </w:tc>
        <w:tc>
          <w:tcPr>
            <w:tcW w:w="4079" w:type="dxa"/>
            <w:vAlign w:val="center"/>
          </w:tcPr>
          <w:p w14:paraId="0790D5FC" w14:textId="77777777" w:rsidR="00054455" w:rsidRPr="00B92D2C" w:rsidRDefault="00054455" w:rsidP="006250B2">
            <w:pPr>
              <w:rPr>
                <w:sz w:val="20"/>
                <w:szCs w:val="20"/>
              </w:rPr>
            </w:pPr>
            <w:proofErr w:type="gramStart"/>
            <w:r w:rsidRPr="00F62304">
              <w:rPr>
                <w:b/>
                <w:bCs/>
                <w:sz w:val="20"/>
                <w:szCs w:val="20"/>
              </w:rPr>
              <w:t>Student</w:t>
            </w:r>
            <w:proofErr w:type="gramEnd"/>
            <w:r w:rsidRPr="00F62304">
              <w:rPr>
                <w:b/>
                <w:bCs/>
                <w:sz w:val="20"/>
                <w:szCs w:val="20"/>
              </w:rPr>
              <w:t xml:space="preserve"> received a diploma in the current year after being reported as a HSED recipient </w:t>
            </w:r>
            <w:r w:rsidRPr="00F62304">
              <w:rPr>
                <w:b/>
                <w:bCs/>
                <w:sz w:val="20"/>
                <w:szCs w:val="20"/>
                <w:u w:val="single"/>
              </w:rPr>
              <w:t>by the reporting district</w:t>
            </w:r>
            <w:r w:rsidRPr="00F62304">
              <w:rPr>
                <w:sz w:val="20"/>
                <w:szCs w:val="20"/>
              </w:rPr>
              <w:t xml:space="preserve"> in a previous collection year.</w:t>
            </w:r>
          </w:p>
        </w:tc>
        <w:tc>
          <w:tcPr>
            <w:tcW w:w="720" w:type="dxa"/>
            <w:vAlign w:val="center"/>
          </w:tcPr>
          <w:p w14:paraId="5A6DE6EF" w14:textId="77777777" w:rsidR="00054455" w:rsidRPr="00B92D2C" w:rsidRDefault="00054455" w:rsidP="006250B2">
            <w:pPr>
              <w:jc w:val="center"/>
              <w:rPr>
                <w:sz w:val="20"/>
                <w:szCs w:val="20"/>
              </w:rPr>
            </w:pPr>
            <w:r>
              <w:rPr>
                <w:sz w:val="20"/>
                <w:szCs w:val="20"/>
              </w:rPr>
              <w:t>95</w:t>
            </w:r>
          </w:p>
        </w:tc>
        <w:tc>
          <w:tcPr>
            <w:tcW w:w="3865" w:type="dxa"/>
            <w:vAlign w:val="center"/>
          </w:tcPr>
          <w:p w14:paraId="4541361E" w14:textId="77777777" w:rsidR="00054455" w:rsidRPr="00054455" w:rsidRDefault="00054455" w:rsidP="006250B2">
            <w:pPr>
              <w:rPr>
                <w:color w:val="767171" w:themeColor="background2" w:themeShade="80"/>
                <w:sz w:val="20"/>
                <w:szCs w:val="20"/>
              </w:rPr>
            </w:pPr>
            <w:r w:rsidRPr="00054455">
              <w:rPr>
                <w:color w:val="767171" w:themeColor="background2" w:themeShade="80"/>
                <w:sz w:val="20"/>
                <w:szCs w:val="20"/>
              </w:rPr>
              <w:t>Not used in Special Education EOY</w:t>
            </w:r>
          </w:p>
        </w:tc>
      </w:tr>
    </w:tbl>
    <w:p w14:paraId="5DCA9299" w14:textId="77777777" w:rsidR="00054455" w:rsidRDefault="00054455" w:rsidP="000647A1"/>
    <w:p w14:paraId="086C1712" w14:textId="4A945448" w:rsidR="00054455" w:rsidRPr="00054455" w:rsidRDefault="00054455" w:rsidP="00054455">
      <w:pPr>
        <w:rPr>
          <w:rFonts w:eastAsia="Times New Roman" w:cs="Arial"/>
          <w:color w:val="388600"/>
          <w:kern w:val="0"/>
          <w14:ligatures w14:val="none"/>
        </w:rPr>
      </w:pPr>
      <w:r w:rsidRPr="00054455">
        <w:rPr>
          <w:rFonts w:eastAsia="Times New Roman" w:cs="Arial"/>
          <w:color w:val="388600"/>
          <w:kern w:val="0"/>
          <w14:ligatures w14:val="none"/>
        </w:rPr>
        <w:t>CSI seeks to ensure its resources are accessible as possible. If you experience any difficulty in accessing a resource, please reach out to: communications_CSI@csi.state.co.us</w:t>
      </w:r>
    </w:p>
    <w:p w14:paraId="64B16DE6" w14:textId="635561EE" w:rsidR="000647A1" w:rsidRPr="000647A1" w:rsidRDefault="000647A1" w:rsidP="00054455">
      <w:pPr>
        <w:tabs>
          <w:tab w:val="left" w:pos="3748"/>
        </w:tabs>
      </w:pPr>
    </w:p>
    <w:sectPr w:rsidR="000647A1" w:rsidRPr="000647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8F69C" w14:textId="77777777" w:rsidR="00054455" w:rsidRDefault="00054455" w:rsidP="009E3202">
      <w:pPr>
        <w:spacing w:after="0" w:line="240" w:lineRule="auto"/>
      </w:pPr>
      <w:r>
        <w:separator/>
      </w:r>
    </w:p>
  </w:endnote>
  <w:endnote w:type="continuationSeparator" w:id="0">
    <w:p w14:paraId="380E5650" w14:textId="77777777" w:rsidR="00054455" w:rsidRDefault="00054455"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F610" w14:textId="2ABD1EE2" w:rsidR="009E3202" w:rsidRPr="009E3202" w:rsidRDefault="009E3202">
    <w:pPr>
      <w:pStyle w:val="Footer"/>
      <w:rPr>
        <w:i/>
        <w:iCs/>
        <w:sz w:val="20"/>
        <w:szCs w:val="20"/>
      </w:rPr>
    </w:pPr>
    <w:r w:rsidRPr="009E3202">
      <w:rPr>
        <w:i/>
        <w:iCs/>
        <w:sz w:val="20"/>
        <w:szCs w:val="20"/>
      </w:rPr>
      <w:t xml:space="preserve">Last updated </w:t>
    </w:r>
    <w:r w:rsidR="00054455">
      <w:rPr>
        <w:i/>
        <w:iCs/>
        <w:sz w:val="20"/>
        <w:szCs w:val="20"/>
      </w:rPr>
      <w:t>February 2025</w:t>
    </w:r>
  </w:p>
  <w:p w14:paraId="41C58AB2"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0F994" w14:textId="77777777" w:rsidR="00054455" w:rsidRDefault="00054455" w:rsidP="009E3202">
      <w:pPr>
        <w:spacing w:after="0" w:line="240" w:lineRule="auto"/>
      </w:pPr>
      <w:r>
        <w:separator/>
      </w:r>
    </w:p>
  </w:footnote>
  <w:footnote w:type="continuationSeparator" w:id="0">
    <w:p w14:paraId="6DBFF6DF" w14:textId="77777777" w:rsidR="00054455" w:rsidRDefault="00054455"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4F01" w14:textId="77777777" w:rsidR="009E3202" w:rsidRDefault="0037488E" w:rsidP="009E3202">
    <w:pPr>
      <w:pStyle w:val="Header"/>
      <w:jc w:val="center"/>
    </w:pPr>
    <w:r>
      <w:rPr>
        <w:noProof/>
      </w:rPr>
      <w:drawing>
        <wp:inline distT="0" distB="0" distL="0" distR="0" wp14:anchorId="046D8491" wp14:editId="78835CAE">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277ED06D" w14:textId="77777777" w:rsidR="009E3202" w:rsidRDefault="009E3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55"/>
    <w:rsid w:val="00054455"/>
    <w:rsid w:val="000647A1"/>
    <w:rsid w:val="00190F7B"/>
    <w:rsid w:val="001E71D3"/>
    <w:rsid w:val="00252383"/>
    <w:rsid w:val="002E3E92"/>
    <w:rsid w:val="00332E50"/>
    <w:rsid w:val="0037488E"/>
    <w:rsid w:val="00551031"/>
    <w:rsid w:val="00580DA8"/>
    <w:rsid w:val="006828C9"/>
    <w:rsid w:val="007976CE"/>
    <w:rsid w:val="008F6B3D"/>
    <w:rsid w:val="00976C1F"/>
    <w:rsid w:val="009E3202"/>
    <w:rsid w:val="009F4907"/>
    <w:rsid w:val="00A259E9"/>
    <w:rsid w:val="00A75CE8"/>
    <w:rsid w:val="00B052A9"/>
    <w:rsid w:val="00B52F15"/>
    <w:rsid w:val="00CB2831"/>
    <w:rsid w:val="00E719BE"/>
    <w:rsid w:val="00E76AE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8368E"/>
  <w15:chartTrackingRefBased/>
  <w15:docId w15:val="{EF5FA79D-E8CE-44EA-8E9B-3CFE7E7D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NormalWeb">
    <w:name w:val="Normal (Web)"/>
    <w:basedOn w:val="Normal"/>
    <w:uiPriority w:val="99"/>
    <w:semiHidden/>
    <w:unhideWhenUsed/>
    <w:rsid w:val="00054455"/>
    <w:pPr>
      <w:spacing w:before="100" w:beforeAutospacing="1" w:after="100" w:afterAutospacing="1" w:line="240" w:lineRule="auto"/>
    </w:pPr>
    <w:rPr>
      <w:rFonts w:eastAsiaTheme="minorEastAsia" w:cs="Times New Roman"/>
      <w:kern w:val="0"/>
      <w:sz w:val="24"/>
      <w:szCs w:val="24"/>
      <w14:ligatures w14:val="none"/>
    </w:rPr>
  </w:style>
  <w:style w:type="table" w:styleId="TableGrid">
    <w:name w:val="Table Grid"/>
    <w:basedOn w:val="TableNormal"/>
    <w:uiPriority w:val="39"/>
    <w:rsid w:val="000544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455"/>
    <w:pPr>
      <w:autoSpaceDE w:val="0"/>
      <w:autoSpaceDN w:val="0"/>
      <w:adjustRightInd w:val="0"/>
      <w:spacing w:after="0" w:line="240" w:lineRule="auto"/>
    </w:pPr>
    <w:rPr>
      <w:rFonts w:ascii="Museo Slab 500" w:eastAsiaTheme="minorEastAsia" w:hAnsi="Museo Slab 500" w:cs="Museo Slab 500"/>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0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1%20STAFF%20USE\Templates\Document%20Templates\Simple%20Word%20Template%20-%20Accessible%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 Updated</Template>
  <TotalTime>6</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Hartung, Ryan</dc:creator>
  <cp:keywords/>
  <dc:description/>
  <cp:lastModifiedBy>Hartung, Ryan</cp:lastModifiedBy>
  <cp:revision>1</cp:revision>
  <dcterms:created xsi:type="dcterms:W3CDTF">2025-02-07T17:04:00Z</dcterms:created>
  <dcterms:modified xsi:type="dcterms:W3CDTF">2025-02-07T17:10:00Z</dcterms:modified>
</cp:coreProperties>
</file>