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9FCA" w14:textId="1D5E3DE2" w:rsidR="00833E8D" w:rsidRPr="0090618C" w:rsidRDefault="00833E8D" w:rsidP="0090618C">
      <w:pPr>
        <w:spacing w:before="120" w:after="120"/>
        <w:jc w:val="center"/>
        <w:rPr>
          <w:rFonts w:ascii="Arial" w:hAnsi="Arial" w:cs="Arial"/>
          <w:b/>
          <w:bCs/>
          <w:sz w:val="24"/>
          <w:szCs w:val="24"/>
        </w:rPr>
      </w:pPr>
      <w:commentRangeStart w:id="0"/>
      <w:r w:rsidRPr="0090618C">
        <w:rPr>
          <w:rFonts w:ascii="Arial" w:hAnsi="Arial" w:cs="Arial"/>
          <w:b/>
          <w:bCs/>
          <w:sz w:val="24"/>
          <w:szCs w:val="24"/>
        </w:rPr>
        <w:t xml:space="preserve">Harassment and Discrimination Investigation Procedures </w:t>
      </w:r>
      <w:r w:rsidR="00E24DB5" w:rsidRPr="0090618C">
        <w:rPr>
          <w:rFonts w:ascii="Arial" w:hAnsi="Arial" w:cs="Arial"/>
          <w:b/>
          <w:bCs/>
          <w:sz w:val="24"/>
          <w:szCs w:val="24"/>
        </w:rPr>
        <w:t>for Students</w:t>
      </w:r>
      <w:commentRangeEnd w:id="0"/>
      <w:r w:rsidR="00935B8E">
        <w:rPr>
          <w:rStyle w:val="CommentReference"/>
        </w:rPr>
        <w:commentReference w:id="0"/>
      </w:r>
    </w:p>
    <w:tbl>
      <w:tblPr>
        <w:tblStyle w:val="TableGrid"/>
        <w:tblW w:w="0" w:type="auto"/>
        <w:tblLook w:val="04A0" w:firstRow="1" w:lastRow="0" w:firstColumn="1" w:lastColumn="0" w:noHBand="0" w:noVBand="1"/>
      </w:tblPr>
      <w:tblGrid>
        <w:gridCol w:w="9350"/>
      </w:tblGrid>
      <w:tr w:rsidR="00231D49" w14:paraId="27DC4ABE" w14:textId="77777777" w:rsidTr="00231D49">
        <w:tc>
          <w:tcPr>
            <w:tcW w:w="9350" w:type="dxa"/>
          </w:tcPr>
          <w:p w14:paraId="30E04C4F" w14:textId="78DD2C4E" w:rsidR="00231D49" w:rsidRDefault="00231D49" w:rsidP="00231D49">
            <w:pPr>
              <w:rPr>
                <w:rFonts w:ascii="Arial" w:hAnsi="Arial" w:cs="Arial"/>
              </w:rPr>
            </w:pPr>
            <w:r w:rsidRPr="00935B8E">
              <w:rPr>
                <w:rFonts w:ascii="Arial" w:hAnsi="Arial" w:cs="Arial"/>
              </w:rPr>
              <w:t>State law requires schools adopt a policy setting forth procedures for responding to and investigating complaints of harassment and discrimination against students. This policy must be separate from, and in addition to, the school’s Sex-based Harassment Investigation Procedures</w:t>
            </w:r>
            <w:r>
              <w:rPr>
                <w:rFonts w:ascii="Arial" w:hAnsi="Arial" w:cs="Arial"/>
              </w:rPr>
              <w:t xml:space="preserve">. </w:t>
            </w:r>
            <w:r w:rsidRPr="00D34F9B">
              <w:rPr>
                <w:rFonts w:ascii="Arial" w:hAnsi="Arial" w:cs="Arial"/>
              </w:rPr>
              <w:t xml:space="preserve">This sample </w:t>
            </w:r>
            <w:r>
              <w:rPr>
                <w:rFonts w:ascii="Arial" w:hAnsi="Arial" w:cs="Arial"/>
              </w:rPr>
              <w:t>policy</w:t>
            </w:r>
            <w:r w:rsidRPr="00D34F9B">
              <w:rPr>
                <w:rFonts w:ascii="Arial" w:hAnsi="Arial" w:cs="Arial"/>
              </w:rPr>
              <w:t xml:space="preserve"> is intended to be used by CSI schools in drafting their own policy. While the sample language provides a helpful starting point, each school’s </w:t>
            </w:r>
            <w:r>
              <w:rPr>
                <w:rFonts w:ascii="Arial" w:hAnsi="Arial" w:cs="Arial"/>
              </w:rPr>
              <w:t>policy</w:t>
            </w:r>
            <w:r w:rsidRPr="00D34F9B">
              <w:rPr>
                <w:rFonts w:ascii="Arial" w:hAnsi="Arial" w:cs="Arial"/>
              </w:rPr>
              <w:t xml:space="preserve"> may be tailored to its own practices and preferences within the confines of the requirements outlined in statute. This document may not be inclusive of everything a school could have in its </w:t>
            </w:r>
            <w:r>
              <w:rPr>
                <w:rFonts w:ascii="Arial" w:hAnsi="Arial" w:cs="Arial"/>
              </w:rPr>
              <w:t>policy</w:t>
            </w:r>
            <w:r w:rsidRPr="00D34F9B">
              <w:rPr>
                <w:rFonts w:ascii="Arial" w:hAnsi="Arial" w:cs="Arial"/>
              </w:rPr>
              <w:t xml:space="preserve">, and schools are encouraged to have all policies reviewed by legal counsel prior to adoption. </w:t>
            </w:r>
          </w:p>
        </w:tc>
      </w:tr>
    </w:tbl>
    <w:p w14:paraId="7B5EC1B1" w14:textId="77777777" w:rsidR="00A26283" w:rsidRPr="0090618C" w:rsidRDefault="00A26283" w:rsidP="0090618C">
      <w:pPr>
        <w:spacing w:before="120" w:after="120"/>
        <w:rPr>
          <w:rFonts w:ascii="Arial" w:hAnsi="Arial" w:cs="Arial"/>
          <w:sz w:val="24"/>
          <w:szCs w:val="24"/>
        </w:rPr>
      </w:pPr>
      <w:r w:rsidRPr="0090618C">
        <w:rPr>
          <w:rFonts w:ascii="Arial" w:hAnsi="Arial" w:cs="Arial"/>
          <w:sz w:val="24"/>
          <w:szCs w:val="24"/>
          <w:highlight w:val="yellow"/>
        </w:rPr>
        <w:t>SCHOOL</w:t>
      </w:r>
      <w:r w:rsidR="00E47ACE" w:rsidRPr="00E47ACE">
        <w:rPr>
          <w:rFonts w:ascii="Arial" w:hAnsi="Arial" w:cs="Arial"/>
          <w:sz w:val="24"/>
          <w:szCs w:val="24"/>
        </w:rPr>
        <w:t xml:space="preserve"> prohibits discrimination against any student. It is a violation of policy for any student or staff member to harass students, or to retaliate against those who report harassment or discrimination or those who participate in a harassment investigation. </w:t>
      </w:r>
    </w:p>
    <w:p w14:paraId="0F205458" w14:textId="03BD7D6B" w:rsidR="00E47ACE" w:rsidRDefault="00E47ACE" w:rsidP="0090618C">
      <w:pPr>
        <w:spacing w:before="120" w:after="120"/>
        <w:rPr>
          <w:rFonts w:ascii="Arial" w:hAnsi="Arial" w:cs="Arial"/>
          <w:sz w:val="24"/>
          <w:szCs w:val="24"/>
        </w:rPr>
      </w:pPr>
      <w:r w:rsidRPr="00E47ACE">
        <w:rPr>
          <w:rFonts w:ascii="Arial" w:hAnsi="Arial" w:cs="Arial"/>
          <w:sz w:val="24"/>
          <w:szCs w:val="24"/>
        </w:rPr>
        <w:t xml:space="preserve">For the purposes of this </w:t>
      </w:r>
      <w:r w:rsidR="00A26283" w:rsidRPr="0090618C">
        <w:rPr>
          <w:rFonts w:ascii="Arial" w:hAnsi="Arial" w:cs="Arial"/>
          <w:sz w:val="24"/>
          <w:szCs w:val="24"/>
        </w:rPr>
        <w:t>policy</w:t>
      </w:r>
      <w:r w:rsidRPr="00E47ACE">
        <w:rPr>
          <w:rFonts w:ascii="Arial" w:hAnsi="Arial" w:cs="Arial"/>
          <w:sz w:val="24"/>
          <w:szCs w:val="24"/>
        </w:rPr>
        <w:t>, </w:t>
      </w:r>
      <w:r w:rsidRPr="00E47ACE">
        <w:rPr>
          <w:rFonts w:ascii="Arial" w:hAnsi="Arial" w:cs="Arial"/>
          <w:b/>
          <w:bCs/>
          <w:sz w:val="24"/>
          <w:szCs w:val="24"/>
        </w:rPr>
        <w:t>“harassment” </w:t>
      </w:r>
      <w:r w:rsidRPr="00E47ACE">
        <w:rPr>
          <w:rFonts w:ascii="Arial" w:hAnsi="Arial" w:cs="Arial"/>
          <w:sz w:val="24"/>
          <w:szCs w:val="24"/>
        </w:rPr>
        <w:t xml:space="preserve">is unwelcome conduct or communication directed at a student based on their protected class, as described in </w:t>
      </w:r>
      <w:r w:rsidR="00A30D6D" w:rsidRPr="0090618C">
        <w:rPr>
          <w:rFonts w:ascii="Arial" w:hAnsi="Arial" w:cs="Arial"/>
          <w:sz w:val="24"/>
          <w:szCs w:val="24"/>
        </w:rPr>
        <w:t>the Board’s Nondiscrimination/Equal Opportunity Policy</w:t>
      </w:r>
      <w:r w:rsidRPr="00E47ACE">
        <w:rPr>
          <w:rFonts w:ascii="Arial" w:hAnsi="Arial" w:cs="Arial"/>
          <w:sz w:val="24"/>
          <w:szCs w:val="24"/>
        </w:rPr>
        <w:t>, that is objectively offensive to a reasonable individual who is a member of the same protected class. The conduct or communication must meet at least one of the following: (</w:t>
      </w:r>
      <w:proofErr w:type="spellStart"/>
      <w:r w:rsidRPr="00E47ACE">
        <w:rPr>
          <w:rFonts w:ascii="Arial" w:hAnsi="Arial" w:cs="Arial"/>
          <w:sz w:val="24"/>
          <w:szCs w:val="24"/>
        </w:rPr>
        <w:t>i</w:t>
      </w:r>
      <w:proofErr w:type="spellEnd"/>
      <w:r w:rsidRPr="00E47ACE">
        <w:rPr>
          <w:rFonts w:ascii="Arial" w:hAnsi="Arial" w:cs="Arial"/>
          <w:sz w:val="24"/>
          <w:szCs w:val="24"/>
        </w:rPr>
        <w:t xml:space="preserve">) submission to the conduct or communication is made a term or condition of access to educational services, (ii) submission to, objection to, or rejection of the conduct or communication is used or threatened to be used as a basis for educational decisions affecting the student; or (iii) the conduct or communication interferes with a student’s ability to participate in the </w:t>
      </w:r>
      <w:r w:rsidR="007740CA" w:rsidRPr="0090618C">
        <w:rPr>
          <w:rFonts w:ascii="Arial" w:hAnsi="Arial" w:cs="Arial"/>
          <w:sz w:val="24"/>
          <w:szCs w:val="24"/>
        </w:rPr>
        <w:t>school</w:t>
      </w:r>
      <w:r w:rsidRPr="00E47ACE">
        <w:rPr>
          <w:rFonts w:ascii="Arial" w:hAnsi="Arial" w:cs="Arial"/>
          <w:sz w:val="24"/>
          <w:szCs w:val="24"/>
        </w:rPr>
        <w:t>’s educational services, or creates an intimidating, hostile, or offensive educational environment.</w:t>
      </w:r>
    </w:p>
    <w:p w14:paraId="26C0DE5D" w14:textId="5BED5C98" w:rsidR="00935B8E" w:rsidRPr="00E47ACE" w:rsidRDefault="00935B8E" w:rsidP="0090618C">
      <w:pPr>
        <w:spacing w:before="120" w:after="120"/>
        <w:rPr>
          <w:rFonts w:ascii="Arial" w:hAnsi="Arial" w:cs="Arial"/>
          <w:sz w:val="24"/>
          <w:szCs w:val="24"/>
        </w:rPr>
      </w:pPr>
      <w:r w:rsidRPr="00935B8E">
        <w:rPr>
          <w:rFonts w:ascii="Arial" w:hAnsi="Arial" w:cs="Arial"/>
          <w:sz w:val="24"/>
          <w:szCs w:val="24"/>
        </w:rPr>
        <w:t>Harassment under Colorado law also includes the knowing or intentional use of a name other than a student’s chosen name, or the refusal to use a student’s chosen name.</w:t>
      </w:r>
    </w:p>
    <w:p w14:paraId="66506498" w14:textId="1B0296C9"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The </w:t>
      </w:r>
      <w:r w:rsidR="007740CA" w:rsidRPr="0090618C">
        <w:rPr>
          <w:rFonts w:ascii="Arial" w:hAnsi="Arial" w:cs="Arial"/>
          <w:sz w:val="24"/>
          <w:szCs w:val="24"/>
        </w:rPr>
        <w:t xml:space="preserve">school </w:t>
      </w:r>
      <w:r w:rsidRPr="00E47ACE">
        <w:rPr>
          <w:rFonts w:ascii="Arial" w:hAnsi="Arial" w:cs="Arial"/>
          <w:sz w:val="24"/>
          <w:szCs w:val="24"/>
        </w:rPr>
        <w:t>has adopted the below grievance procedures to encourage reporting and ensure that the investigation and resolution of complaints of harassment and discrimination against students are fair, impartial, and prompt. </w:t>
      </w:r>
    </w:p>
    <w:p w14:paraId="35301700" w14:textId="1550DB73"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Allegations of sex-based discrimination or sex-based harassment arising under Title IX must follow the procedures specifically outlined in </w:t>
      </w:r>
      <w:r w:rsidR="00861982" w:rsidRPr="0090618C">
        <w:rPr>
          <w:rFonts w:ascii="Arial" w:hAnsi="Arial" w:cs="Arial"/>
          <w:sz w:val="24"/>
          <w:szCs w:val="24"/>
        </w:rPr>
        <w:t xml:space="preserve">the Board’s </w:t>
      </w:r>
      <w:commentRangeStart w:id="1"/>
      <w:r w:rsidR="00861982" w:rsidRPr="00935B8E">
        <w:rPr>
          <w:rFonts w:ascii="Arial" w:hAnsi="Arial" w:cs="Arial"/>
          <w:sz w:val="24"/>
          <w:szCs w:val="24"/>
          <w:highlight w:val="yellow"/>
        </w:rPr>
        <w:t>Sex-Based Harassment Investigation Procedures Policy</w:t>
      </w:r>
      <w:commentRangeEnd w:id="1"/>
      <w:r w:rsidR="00935B8E">
        <w:rPr>
          <w:rStyle w:val="CommentReference"/>
        </w:rPr>
        <w:commentReference w:id="1"/>
      </w:r>
      <w:r w:rsidRPr="00E47ACE">
        <w:rPr>
          <w:rFonts w:ascii="Arial" w:hAnsi="Arial" w:cs="Arial"/>
          <w:sz w:val="24"/>
          <w:szCs w:val="24"/>
        </w:rPr>
        <w:t>. </w:t>
      </w:r>
    </w:p>
    <w:p w14:paraId="10EF378A" w14:textId="77777777" w:rsidR="00E47ACE" w:rsidRPr="0090618C" w:rsidRDefault="00E47ACE" w:rsidP="0090618C">
      <w:pPr>
        <w:pStyle w:val="Heading1"/>
        <w:spacing w:before="120"/>
      </w:pPr>
      <w:r w:rsidRPr="0090618C">
        <w:t>Investigation Process </w:t>
      </w:r>
    </w:p>
    <w:p w14:paraId="47A2D9D2" w14:textId="77777777" w:rsidR="00010A46" w:rsidRPr="0090618C" w:rsidRDefault="00E47ACE" w:rsidP="0090618C">
      <w:pPr>
        <w:spacing w:before="120" w:after="120"/>
        <w:rPr>
          <w:rFonts w:ascii="Arial" w:hAnsi="Arial" w:cs="Arial"/>
          <w:sz w:val="24"/>
          <w:szCs w:val="24"/>
        </w:rPr>
      </w:pPr>
      <w:r w:rsidRPr="00E47ACE">
        <w:rPr>
          <w:rFonts w:ascii="Arial" w:hAnsi="Arial" w:cs="Arial"/>
          <w:sz w:val="24"/>
          <w:szCs w:val="24"/>
        </w:rPr>
        <w:t xml:space="preserve">Throughout the investigation, the </w:t>
      </w:r>
      <w:r w:rsidR="007740CA" w:rsidRPr="0090618C">
        <w:rPr>
          <w:rFonts w:ascii="Arial" w:hAnsi="Arial" w:cs="Arial"/>
          <w:sz w:val="24"/>
          <w:szCs w:val="24"/>
        </w:rPr>
        <w:t xml:space="preserve">school </w:t>
      </w:r>
      <w:r w:rsidRPr="00E47ACE">
        <w:rPr>
          <w:rFonts w:ascii="Arial" w:hAnsi="Arial" w:cs="Arial"/>
          <w:sz w:val="24"/>
          <w:szCs w:val="24"/>
        </w:rPr>
        <w:t xml:space="preserve">will keep information related to the investigation confidential to the extent possible. The investigation will be fair, impartial, and prompt. The </w:t>
      </w:r>
      <w:r w:rsidR="007740CA" w:rsidRPr="0090618C">
        <w:rPr>
          <w:rFonts w:ascii="Arial" w:hAnsi="Arial" w:cs="Arial"/>
          <w:sz w:val="24"/>
          <w:szCs w:val="24"/>
        </w:rPr>
        <w:t>school</w:t>
      </w:r>
      <w:r w:rsidRPr="00E47ACE">
        <w:rPr>
          <w:rFonts w:ascii="Arial" w:hAnsi="Arial" w:cs="Arial"/>
          <w:sz w:val="24"/>
          <w:szCs w:val="24"/>
        </w:rPr>
        <w:t xml:space="preserve"> will make a good faith effort to complete an investigation within </w:t>
      </w:r>
      <w:commentRangeStart w:id="2"/>
      <w:r w:rsidRPr="00E47ACE">
        <w:rPr>
          <w:rFonts w:ascii="Arial" w:hAnsi="Arial" w:cs="Arial"/>
          <w:sz w:val="24"/>
          <w:szCs w:val="24"/>
        </w:rPr>
        <w:t>sixty days </w:t>
      </w:r>
      <w:commentRangeEnd w:id="2"/>
      <w:r w:rsidR="00874B04" w:rsidRPr="0090618C">
        <w:rPr>
          <w:rStyle w:val="CommentReference"/>
          <w:rFonts w:ascii="Arial" w:hAnsi="Arial" w:cs="Arial"/>
          <w:sz w:val="24"/>
          <w:szCs w:val="24"/>
        </w:rPr>
        <w:commentReference w:id="2"/>
      </w:r>
      <w:r w:rsidRPr="00E47ACE">
        <w:rPr>
          <w:rFonts w:ascii="Arial" w:hAnsi="Arial" w:cs="Arial"/>
          <w:sz w:val="24"/>
          <w:szCs w:val="24"/>
        </w:rPr>
        <w:t>after the complaint, with an additional </w:t>
      </w:r>
      <w:r w:rsidR="00010A46" w:rsidRPr="0090618C">
        <w:rPr>
          <w:rFonts w:ascii="Arial" w:hAnsi="Arial" w:cs="Arial"/>
          <w:sz w:val="24"/>
          <w:szCs w:val="24"/>
        </w:rPr>
        <w:t>thirty-day</w:t>
      </w:r>
      <w:r w:rsidRPr="00E47ACE">
        <w:rPr>
          <w:rFonts w:ascii="Arial" w:hAnsi="Arial" w:cs="Arial"/>
          <w:sz w:val="24"/>
          <w:szCs w:val="24"/>
        </w:rPr>
        <w:t xml:space="preserve"> extension possible for good cause. The compliance officer will attempt to adhere to all timelines. If the compliance officer needs more time </w:t>
      </w:r>
      <w:proofErr w:type="gramStart"/>
      <w:r w:rsidRPr="00E47ACE">
        <w:rPr>
          <w:rFonts w:ascii="Arial" w:hAnsi="Arial" w:cs="Arial"/>
          <w:sz w:val="24"/>
          <w:szCs w:val="24"/>
        </w:rPr>
        <w:t>with regard to</w:t>
      </w:r>
      <w:proofErr w:type="gramEnd"/>
      <w:r w:rsidRPr="00E47ACE">
        <w:rPr>
          <w:rFonts w:ascii="Arial" w:hAnsi="Arial" w:cs="Arial"/>
          <w:sz w:val="24"/>
          <w:szCs w:val="24"/>
        </w:rPr>
        <w:t xml:space="preserve"> any aspect of the investigation, they will notify the parties in writing as to the reason for the extension.</w:t>
      </w:r>
    </w:p>
    <w:p w14:paraId="4432691F" w14:textId="4D8B29E6"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lastRenderedPageBreak/>
        <w:t xml:space="preserve">Promptly after receiving a complaint, the compliance officer will offer the complainant and respondent supportive measures and inform the parties that they may request additional supportive measures throughout the investigation by contacting the compliance officer. If a student with a disability is a party, the compliance officer will collaborate with the student’s 504/IEP team to determine appropriate supportive measures and will discuss these options with the student. Supportive measures may </w:t>
      </w:r>
      <w:proofErr w:type="gramStart"/>
      <w:r w:rsidRPr="00E47ACE">
        <w:rPr>
          <w:rFonts w:ascii="Arial" w:hAnsi="Arial" w:cs="Arial"/>
          <w:sz w:val="24"/>
          <w:szCs w:val="24"/>
        </w:rPr>
        <w:t>include, but</w:t>
      </w:r>
      <w:proofErr w:type="gramEnd"/>
      <w:r w:rsidRPr="00E47ACE">
        <w:rPr>
          <w:rFonts w:ascii="Arial" w:hAnsi="Arial" w:cs="Arial"/>
          <w:sz w:val="24"/>
          <w:szCs w:val="24"/>
        </w:rPr>
        <w:t xml:space="preserve"> are not limited to: counseling; extensions of deadlines or other course-related adjustments; extra time for homework or tests; the opportunity to resubmit homework or retake a test; remedying an impacted grade; excused absences; the opportunity for home instruction; modifications to class schedules; and restrictions on contact between the parties to a report of harassment or discrimination. </w:t>
      </w:r>
    </w:p>
    <w:p w14:paraId="5CF7A8BF"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During the investigation, all parties will be treated equitably and will be provided equal opportunity to present evidence. Any questions that arise during the investigation should be directed to or forwarded to the compliance officer. The compliance officer will provide regular written updates about the status of the investigation to both parties and their parents/legal guardians at the end of each stage of the investigation, but at least every fifteen business days. </w:t>
      </w:r>
    </w:p>
    <w:p w14:paraId="2411831A" w14:textId="0AA0A178" w:rsidR="00E47ACE" w:rsidRPr="00E47ACE" w:rsidRDefault="006C35E8" w:rsidP="0090618C">
      <w:pPr>
        <w:spacing w:before="120" w:after="120"/>
        <w:rPr>
          <w:rFonts w:ascii="Arial" w:hAnsi="Arial" w:cs="Arial"/>
          <w:sz w:val="24"/>
          <w:szCs w:val="24"/>
        </w:rPr>
      </w:pPr>
      <w:r w:rsidRPr="0090618C">
        <w:rPr>
          <w:rFonts w:ascii="Arial" w:hAnsi="Arial" w:cs="Arial"/>
          <w:b/>
          <w:bCs/>
          <w:sz w:val="24"/>
          <w:szCs w:val="24"/>
        </w:rPr>
        <w:t xml:space="preserve">1. </w:t>
      </w:r>
      <w:r w:rsidR="00E47ACE" w:rsidRPr="00E47ACE">
        <w:rPr>
          <w:rFonts w:ascii="Arial" w:hAnsi="Arial" w:cs="Arial"/>
          <w:b/>
          <w:bCs/>
          <w:sz w:val="24"/>
          <w:szCs w:val="24"/>
        </w:rPr>
        <w:t>Making a Complaint</w:t>
      </w:r>
    </w:p>
    <w:p w14:paraId="4EDF3C82" w14:textId="2FC2675C"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Any person who witnesses or experiences bullying </w:t>
      </w:r>
      <w:proofErr w:type="gramStart"/>
      <w:r w:rsidRPr="00E47ACE">
        <w:rPr>
          <w:rFonts w:ascii="Arial" w:hAnsi="Arial" w:cs="Arial"/>
          <w:sz w:val="24"/>
          <w:szCs w:val="24"/>
        </w:rPr>
        <w:t>on the basis of</w:t>
      </w:r>
      <w:proofErr w:type="gramEnd"/>
      <w:r w:rsidRPr="00E47ACE">
        <w:rPr>
          <w:rFonts w:ascii="Arial" w:hAnsi="Arial" w:cs="Arial"/>
          <w:sz w:val="24"/>
          <w:szCs w:val="24"/>
        </w:rPr>
        <w:t xml:space="preserve"> protected class, harassment, discrimination, or retaliation against students </w:t>
      </w:r>
      <w:proofErr w:type="gramStart"/>
      <w:r w:rsidRPr="00E47ACE">
        <w:rPr>
          <w:rFonts w:ascii="Arial" w:hAnsi="Arial" w:cs="Arial"/>
          <w:sz w:val="24"/>
          <w:szCs w:val="24"/>
        </w:rPr>
        <w:t>are</w:t>
      </w:r>
      <w:proofErr w:type="gramEnd"/>
      <w:r w:rsidRPr="00E47ACE">
        <w:rPr>
          <w:rFonts w:ascii="Arial" w:hAnsi="Arial" w:cs="Arial"/>
          <w:sz w:val="24"/>
          <w:szCs w:val="24"/>
        </w:rPr>
        <w:t xml:space="preserve"> encouraged to report the conduct to school staff by making a complaint with the </w:t>
      </w:r>
      <w:r w:rsidR="007740CA" w:rsidRPr="0090618C">
        <w:rPr>
          <w:rFonts w:ascii="Arial" w:hAnsi="Arial" w:cs="Arial"/>
          <w:sz w:val="24"/>
          <w:szCs w:val="24"/>
        </w:rPr>
        <w:t>school</w:t>
      </w:r>
      <w:r w:rsidRPr="00E47ACE">
        <w:rPr>
          <w:rFonts w:ascii="Arial" w:hAnsi="Arial" w:cs="Arial"/>
          <w:sz w:val="24"/>
          <w:szCs w:val="24"/>
        </w:rPr>
        <w:t>’s compliance officer.</w:t>
      </w:r>
    </w:p>
    <w:p w14:paraId="65212CAD"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Any staff member who receives information about an incident or who witnesses harassment, discrimination, or retaliation must report the incident to the compliance officer.</w:t>
      </w:r>
    </w:p>
    <w:p w14:paraId="44BBE6CD"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Complaints may be made by phone, by email, in person, or through an online form and should include a detailed description of the alleged event(s), the date(s) the alleged event(s) occurred, and name(s) of the party/parties involved, including any witnesses. The complaint should be made as soon as possible after the incident.  </w:t>
      </w:r>
    </w:p>
    <w:p w14:paraId="230BD758" w14:textId="77777777" w:rsidR="00CF0DD2" w:rsidRPr="00935B8E" w:rsidRDefault="00E47ACE" w:rsidP="0090618C">
      <w:pPr>
        <w:pStyle w:val="ListParagraph"/>
        <w:numPr>
          <w:ilvl w:val="0"/>
          <w:numId w:val="29"/>
        </w:numPr>
        <w:spacing w:before="120" w:after="120"/>
        <w:contextualSpacing w:val="0"/>
        <w:rPr>
          <w:rFonts w:ascii="Arial" w:hAnsi="Arial" w:cs="Arial"/>
          <w:sz w:val="24"/>
          <w:szCs w:val="24"/>
          <w:highlight w:val="yellow"/>
        </w:rPr>
      </w:pPr>
      <w:r w:rsidRPr="00935B8E">
        <w:rPr>
          <w:rFonts w:ascii="Arial" w:hAnsi="Arial" w:cs="Arial"/>
          <w:b/>
          <w:bCs/>
          <w:sz w:val="24"/>
          <w:szCs w:val="24"/>
          <w:highlight w:val="yellow"/>
        </w:rPr>
        <w:t>Compliance Officer:</w:t>
      </w:r>
      <w:r w:rsidRPr="00935B8E">
        <w:rPr>
          <w:rFonts w:ascii="Arial" w:hAnsi="Arial" w:cs="Arial"/>
          <w:sz w:val="24"/>
          <w:szCs w:val="24"/>
          <w:highlight w:val="yellow"/>
        </w:rPr>
        <w:t> [</w:t>
      </w:r>
      <w:r w:rsidRPr="00935B8E">
        <w:rPr>
          <w:rFonts w:ascii="Arial" w:hAnsi="Arial" w:cs="Arial"/>
          <w:sz w:val="24"/>
          <w:szCs w:val="24"/>
          <w:highlight w:val="yellow"/>
          <w:u w:val="single"/>
        </w:rPr>
        <w:t>Enter name of Compliance Officer; Phone Number; Address; and Email</w:t>
      </w:r>
      <w:r w:rsidRPr="00935B8E">
        <w:rPr>
          <w:rFonts w:ascii="Arial" w:hAnsi="Arial" w:cs="Arial"/>
          <w:sz w:val="24"/>
          <w:szCs w:val="24"/>
          <w:highlight w:val="yellow"/>
        </w:rPr>
        <w:t>]</w:t>
      </w:r>
    </w:p>
    <w:p w14:paraId="77922D45" w14:textId="17FEBFAC" w:rsidR="00E47ACE" w:rsidRPr="00935B8E" w:rsidRDefault="00E47ACE" w:rsidP="0090618C">
      <w:pPr>
        <w:pStyle w:val="ListParagraph"/>
        <w:numPr>
          <w:ilvl w:val="0"/>
          <w:numId w:val="29"/>
        </w:numPr>
        <w:spacing w:before="120" w:after="120"/>
        <w:contextualSpacing w:val="0"/>
        <w:rPr>
          <w:rFonts w:ascii="Arial" w:hAnsi="Arial" w:cs="Arial"/>
          <w:sz w:val="24"/>
          <w:szCs w:val="24"/>
          <w:highlight w:val="yellow"/>
        </w:rPr>
      </w:pPr>
      <w:r w:rsidRPr="00935B8E">
        <w:rPr>
          <w:rFonts w:ascii="Arial" w:hAnsi="Arial" w:cs="Arial"/>
          <w:b/>
          <w:bCs/>
          <w:sz w:val="24"/>
          <w:szCs w:val="24"/>
          <w:highlight w:val="yellow"/>
        </w:rPr>
        <w:t>Complaint Form Link:</w:t>
      </w:r>
      <w:r w:rsidRPr="00935B8E">
        <w:rPr>
          <w:rFonts w:ascii="Arial" w:hAnsi="Arial" w:cs="Arial"/>
          <w:sz w:val="24"/>
          <w:szCs w:val="24"/>
          <w:highlight w:val="yellow"/>
        </w:rPr>
        <w:t> [</w:t>
      </w:r>
      <w:r w:rsidRPr="00935B8E">
        <w:rPr>
          <w:rFonts w:ascii="Arial" w:hAnsi="Arial" w:cs="Arial"/>
          <w:sz w:val="24"/>
          <w:szCs w:val="24"/>
          <w:highlight w:val="yellow"/>
          <w:u w:val="single"/>
        </w:rPr>
        <w:t>Enter online form link</w:t>
      </w:r>
      <w:r w:rsidRPr="00935B8E">
        <w:rPr>
          <w:rFonts w:ascii="Arial" w:hAnsi="Arial" w:cs="Arial"/>
          <w:sz w:val="24"/>
          <w:szCs w:val="24"/>
          <w:highlight w:val="yellow"/>
        </w:rPr>
        <w:t>]</w:t>
      </w:r>
    </w:p>
    <w:p w14:paraId="3DDFB85D" w14:textId="2696637B"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No person can serve as the compliance officer in a matter in which they have a bias or conflict of interest </w:t>
      </w:r>
      <w:proofErr w:type="gramStart"/>
      <w:r w:rsidRPr="00E47ACE">
        <w:rPr>
          <w:rFonts w:ascii="Arial" w:hAnsi="Arial" w:cs="Arial"/>
          <w:sz w:val="24"/>
          <w:szCs w:val="24"/>
        </w:rPr>
        <w:t>with regard to</w:t>
      </w:r>
      <w:proofErr w:type="gramEnd"/>
      <w:r w:rsidRPr="00E47ACE">
        <w:rPr>
          <w:rFonts w:ascii="Arial" w:hAnsi="Arial" w:cs="Arial"/>
          <w:sz w:val="24"/>
          <w:szCs w:val="24"/>
        </w:rPr>
        <w:t xml:space="preserve"> the parties and/or the underlying conduct, or if they are alleged to have participated in prohibited conduct. If the compliance officer is alleged to have participated in prohibited conduct, complaints may be made to the following </w:t>
      </w:r>
      <w:r w:rsidR="007740CA" w:rsidRPr="0090618C">
        <w:rPr>
          <w:rFonts w:ascii="Arial" w:hAnsi="Arial" w:cs="Arial"/>
          <w:sz w:val="24"/>
          <w:szCs w:val="24"/>
        </w:rPr>
        <w:t xml:space="preserve">school </w:t>
      </w:r>
      <w:r w:rsidRPr="00E47ACE">
        <w:rPr>
          <w:rFonts w:ascii="Arial" w:hAnsi="Arial" w:cs="Arial"/>
          <w:sz w:val="24"/>
          <w:szCs w:val="24"/>
        </w:rPr>
        <w:t>employee.</w:t>
      </w:r>
    </w:p>
    <w:p w14:paraId="4AB08AD8" w14:textId="7962DD9D" w:rsidR="00E47ACE" w:rsidRPr="00935B8E" w:rsidRDefault="00E47ACE" w:rsidP="0090618C">
      <w:pPr>
        <w:pStyle w:val="ListParagraph"/>
        <w:numPr>
          <w:ilvl w:val="0"/>
          <w:numId w:val="30"/>
        </w:numPr>
        <w:spacing w:before="120" w:after="120"/>
        <w:contextualSpacing w:val="0"/>
        <w:rPr>
          <w:rFonts w:ascii="Arial" w:hAnsi="Arial" w:cs="Arial"/>
          <w:sz w:val="24"/>
          <w:szCs w:val="24"/>
          <w:highlight w:val="yellow"/>
        </w:rPr>
      </w:pPr>
      <w:r w:rsidRPr="00935B8E">
        <w:rPr>
          <w:rFonts w:ascii="Arial" w:hAnsi="Arial" w:cs="Arial"/>
          <w:b/>
          <w:bCs/>
          <w:sz w:val="24"/>
          <w:szCs w:val="24"/>
          <w:highlight w:val="yellow"/>
        </w:rPr>
        <w:t>[Employee Title]</w:t>
      </w:r>
      <w:r w:rsidRPr="00935B8E">
        <w:rPr>
          <w:rFonts w:ascii="Arial" w:hAnsi="Arial" w:cs="Arial"/>
          <w:sz w:val="24"/>
          <w:szCs w:val="24"/>
          <w:highlight w:val="yellow"/>
        </w:rPr>
        <w:t>: [</w:t>
      </w:r>
      <w:r w:rsidRPr="00935B8E">
        <w:rPr>
          <w:rFonts w:ascii="Arial" w:hAnsi="Arial" w:cs="Arial"/>
          <w:sz w:val="24"/>
          <w:szCs w:val="24"/>
          <w:highlight w:val="yellow"/>
          <w:u w:val="single"/>
        </w:rPr>
        <w:t>Enter name of Employee; Phone Number; Address; and Email</w:t>
      </w:r>
      <w:r w:rsidRPr="00935B8E">
        <w:rPr>
          <w:rFonts w:ascii="Arial" w:hAnsi="Arial" w:cs="Arial"/>
          <w:sz w:val="24"/>
          <w:szCs w:val="24"/>
          <w:highlight w:val="yellow"/>
        </w:rPr>
        <w:t>]</w:t>
      </w:r>
    </w:p>
    <w:p w14:paraId="71CB701C"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lastRenderedPageBreak/>
        <w:t>Retaliation against the complainant, respondent, or any person who filed a complaint or participated in an investigation is prohibited. Individuals found to have engaged in retaliatory behavior will be subject to disciplinary measures. </w:t>
      </w:r>
    </w:p>
    <w:p w14:paraId="2498D4BD" w14:textId="5E1798A1"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2.    Evaluation by Compliance Officer</w:t>
      </w:r>
      <w:r w:rsidRPr="00E47ACE">
        <w:rPr>
          <w:rFonts w:ascii="Arial" w:hAnsi="Arial" w:cs="Arial"/>
          <w:sz w:val="24"/>
          <w:szCs w:val="24"/>
        </w:rPr>
        <w:br/>
        <w:t>    </w:t>
      </w:r>
      <w:r w:rsidRPr="00E47ACE">
        <w:rPr>
          <w:rFonts w:ascii="Arial" w:hAnsi="Arial" w:cs="Arial"/>
          <w:sz w:val="24"/>
          <w:szCs w:val="24"/>
        </w:rPr>
        <w:br/>
        <w:t xml:space="preserve">The compliance officer will review the complaint to determine whether the alleged conduct constitutes harassment or discrimination. The compliance officer will refer the matter back to the </w:t>
      </w:r>
      <w:r w:rsidR="00802E2F" w:rsidRPr="0090618C">
        <w:rPr>
          <w:rFonts w:ascii="Arial" w:hAnsi="Arial" w:cs="Arial"/>
          <w:sz w:val="24"/>
          <w:szCs w:val="24"/>
        </w:rPr>
        <w:t>Head of School</w:t>
      </w:r>
      <w:r w:rsidRPr="00E47ACE">
        <w:rPr>
          <w:rFonts w:ascii="Arial" w:hAnsi="Arial" w:cs="Arial"/>
          <w:sz w:val="24"/>
          <w:szCs w:val="24"/>
        </w:rPr>
        <w:t xml:space="preserve"> or appropriate administrative department if the conduct alleged does not implicate a protected class or otherwise fit the characteristics of harassment or discrimination. </w:t>
      </w:r>
    </w:p>
    <w:p w14:paraId="16262629"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The compliance officer will refer any potential criminal charges to law enforcement. Upon the request of law enforcement, the compliance officer will delay action on a complaint for a reasonable amount of time to allow law enforcement to investigate the matter and will notify the parties of the delay. The compliance officer will not rely solely on a criminal investigation by a law enforcement agency in lieu of responding to a report of harassment or discrimination but may consider any evidence shared by law enforcement in making any determinations.</w:t>
      </w:r>
    </w:p>
    <w:p w14:paraId="5092C205"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The compliance officer may assign any or all aspects of the investigation to a qualified alternate for any reason, including conflict of interest, bias concerns and/or insufficient capacity due to other matters.</w:t>
      </w:r>
    </w:p>
    <w:p w14:paraId="292A0C77" w14:textId="15819849"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As used in this </w:t>
      </w:r>
      <w:r w:rsidR="00510118" w:rsidRPr="0090618C">
        <w:rPr>
          <w:rFonts w:ascii="Arial" w:hAnsi="Arial" w:cs="Arial"/>
          <w:sz w:val="24"/>
          <w:szCs w:val="24"/>
        </w:rPr>
        <w:t>policy</w:t>
      </w:r>
      <w:r w:rsidRPr="00E47ACE">
        <w:rPr>
          <w:rFonts w:ascii="Arial" w:hAnsi="Arial" w:cs="Arial"/>
          <w:sz w:val="24"/>
          <w:szCs w:val="24"/>
        </w:rPr>
        <w:t>, the term “compliance officer” refers to the compliance officer or their designee.</w:t>
      </w:r>
    </w:p>
    <w:p w14:paraId="4D2CF21E"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3.  Initial Meetings with the Parties</w:t>
      </w:r>
      <w:r w:rsidRPr="00E47ACE">
        <w:rPr>
          <w:rFonts w:ascii="Arial" w:hAnsi="Arial" w:cs="Arial"/>
          <w:sz w:val="24"/>
          <w:szCs w:val="24"/>
        </w:rPr>
        <w:t>  </w:t>
      </w:r>
    </w:p>
    <w:p w14:paraId="50514E47"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The following details actions to be taken by the compliance officer upon the determination that the underlying allegations, if proved to be true, constitute harassment or discrimination. </w:t>
      </w:r>
    </w:p>
    <w:p w14:paraId="5A34CA6A" w14:textId="79F9A9E5" w:rsidR="00E47ACE" w:rsidRPr="0090618C" w:rsidRDefault="00E47ACE" w:rsidP="0090618C">
      <w:pPr>
        <w:pStyle w:val="ListParagraph"/>
        <w:numPr>
          <w:ilvl w:val="0"/>
          <w:numId w:val="31"/>
        </w:numPr>
        <w:spacing w:before="120" w:after="120"/>
        <w:contextualSpacing w:val="0"/>
        <w:rPr>
          <w:rFonts w:ascii="Arial" w:hAnsi="Arial" w:cs="Arial"/>
          <w:sz w:val="24"/>
          <w:szCs w:val="24"/>
        </w:rPr>
      </w:pPr>
      <w:r w:rsidRPr="0090618C">
        <w:rPr>
          <w:rFonts w:ascii="Arial" w:hAnsi="Arial" w:cs="Arial"/>
          <w:i/>
          <w:iCs/>
          <w:sz w:val="24"/>
          <w:szCs w:val="24"/>
        </w:rPr>
        <w:t>Initial meeting with Reporting Party, if any, and Complainant</w:t>
      </w:r>
      <w:r w:rsidRPr="0090618C">
        <w:rPr>
          <w:rFonts w:ascii="Arial" w:hAnsi="Arial" w:cs="Arial"/>
          <w:sz w:val="24"/>
          <w:szCs w:val="24"/>
        </w:rPr>
        <w:t>: Within [three - five] school days following receipt of the complaint, the compliance officer will meet with the complainant and any reporting party and their parents or guardians.</w:t>
      </w:r>
    </w:p>
    <w:p w14:paraId="77E7AA71" w14:textId="77777777" w:rsidR="00E44A7F" w:rsidRPr="0090618C" w:rsidRDefault="00E47ACE" w:rsidP="0090618C">
      <w:pPr>
        <w:spacing w:before="120" w:after="120"/>
        <w:ind w:firstLine="720"/>
        <w:rPr>
          <w:rFonts w:ascii="Arial" w:hAnsi="Arial" w:cs="Arial"/>
          <w:sz w:val="24"/>
          <w:szCs w:val="24"/>
        </w:rPr>
      </w:pPr>
      <w:r w:rsidRPr="00E47ACE">
        <w:rPr>
          <w:rFonts w:ascii="Arial" w:hAnsi="Arial" w:cs="Arial"/>
          <w:sz w:val="24"/>
          <w:szCs w:val="24"/>
        </w:rPr>
        <w:t>The purpose of the initial meeting is for the compliance officer to:</w:t>
      </w:r>
    </w:p>
    <w:p w14:paraId="7037BC9B" w14:textId="77777777" w:rsidR="00E44A7F"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provide the complainant with the information detailed in paragraph (c) below; and </w:t>
      </w:r>
    </w:p>
    <w:p w14:paraId="3D967085" w14:textId="6E5C911B" w:rsidR="00E47ACE"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collect any additional information necessary to complete the complaint and determine whether the allegations, if proven to be true, constitute prohibited discrimination or harassment.</w:t>
      </w:r>
    </w:p>
    <w:p w14:paraId="4F6764D3" w14:textId="77777777" w:rsidR="00E47ACE" w:rsidRPr="00E47ACE" w:rsidRDefault="00E47ACE" w:rsidP="0090618C">
      <w:pPr>
        <w:spacing w:before="120" w:after="120"/>
        <w:ind w:left="720"/>
        <w:rPr>
          <w:rFonts w:ascii="Arial" w:hAnsi="Arial" w:cs="Arial"/>
          <w:sz w:val="24"/>
          <w:szCs w:val="24"/>
        </w:rPr>
      </w:pPr>
      <w:r w:rsidRPr="00E47ACE">
        <w:rPr>
          <w:rFonts w:ascii="Arial" w:hAnsi="Arial" w:cs="Arial"/>
          <w:sz w:val="24"/>
          <w:szCs w:val="24"/>
        </w:rPr>
        <w:t xml:space="preserve">If the compliance officer determines there is no merit to the allegations, the compliance officer may dismiss the complaint and will notify the complainant in writing. If the complaint is dismissed at this stage, the compliance officer may </w:t>
      </w:r>
      <w:r w:rsidRPr="00E47ACE">
        <w:rPr>
          <w:rFonts w:ascii="Arial" w:hAnsi="Arial" w:cs="Arial"/>
          <w:sz w:val="24"/>
          <w:szCs w:val="24"/>
        </w:rPr>
        <w:lastRenderedPageBreak/>
        <w:t>meet with the respondent to advise them of the allegations and offer supportive measures.</w:t>
      </w:r>
    </w:p>
    <w:p w14:paraId="4C93C992" w14:textId="77777777" w:rsidR="00E47ACE" w:rsidRPr="00E47ACE" w:rsidRDefault="00E47ACE" w:rsidP="0090618C">
      <w:pPr>
        <w:spacing w:before="120" w:after="120"/>
        <w:ind w:left="720"/>
        <w:rPr>
          <w:rFonts w:ascii="Arial" w:hAnsi="Arial" w:cs="Arial"/>
          <w:sz w:val="24"/>
          <w:szCs w:val="24"/>
        </w:rPr>
      </w:pPr>
      <w:r w:rsidRPr="00E47ACE">
        <w:rPr>
          <w:rFonts w:ascii="Arial" w:hAnsi="Arial" w:cs="Arial"/>
          <w:sz w:val="24"/>
          <w:szCs w:val="24"/>
        </w:rPr>
        <w:t>If the complainant does not want to proceed with the next steps of the investigation, the compliance officer may elect to proceed with the investigation if necessary to stop any harassment or discrimination and otherwise ensure the safety of the school environment. </w:t>
      </w:r>
    </w:p>
    <w:p w14:paraId="77A7A1AC" w14:textId="1CD291CA" w:rsidR="00854A39" w:rsidRPr="0090618C" w:rsidRDefault="00E47ACE" w:rsidP="0090618C">
      <w:pPr>
        <w:pStyle w:val="ListParagraph"/>
        <w:numPr>
          <w:ilvl w:val="0"/>
          <w:numId w:val="31"/>
        </w:numPr>
        <w:spacing w:before="120" w:after="120"/>
        <w:contextualSpacing w:val="0"/>
        <w:rPr>
          <w:rFonts w:ascii="Arial" w:hAnsi="Arial" w:cs="Arial"/>
          <w:sz w:val="24"/>
          <w:szCs w:val="24"/>
        </w:rPr>
      </w:pPr>
      <w:r w:rsidRPr="0090618C">
        <w:rPr>
          <w:rFonts w:ascii="Arial" w:hAnsi="Arial" w:cs="Arial"/>
          <w:i/>
          <w:iCs/>
          <w:sz w:val="24"/>
          <w:szCs w:val="24"/>
        </w:rPr>
        <w:t>Initial Meeting with Respondent</w:t>
      </w:r>
      <w:r w:rsidRPr="0090618C">
        <w:rPr>
          <w:rFonts w:ascii="Arial" w:hAnsi="Arial" w:cs="Arial"/>
          <w:sz w:val="24"/>
          <w:szCs w:val="24"/>
        </w:rPr>
        <w:t xml:space="preserve">: As soon as possible after meeting with the complainant and any reporting party, the compliance officer will meet with the respondent and, if this individual is a student, their parents/guardians, </w:t>
      </w:r>
      <w:proofErr w:type="gramStart"/>
      <w:r w:rsidRPr="0090618C">
        <w:rPr>
          <w:rFonts w:ascii="Arial" w:hAnsi="Arial" w:cs="Arial"/>
          <w:sz w:val="24"/>
          <w:szCs w:val="24"/>
        </w:rPr>
        <w:t>in order to</w:t>
      </w:r>
      <w:proofErr w:type="gramEnd"/>
      <w:r w:rsidRPr="0090618C">
        <w:rPr>
          <w:rFonts w:ascii="Arial" w:hAnsi="Arial" w:cs="Arial"/>
          <w:sz w:val="24"/>
          <w:szCs w:val="24"/>
        </w:rPr>
        <w:t xml:space="preserve"> obtain a response to the complaint. At the initial meeting, the compliance officer will advise the respondent as to the allegations against them and give the respondent a chance to respond to those allegations. </w:t>
      </w:r>
    </w:p>
    <w:p w14:paraId="4F210011" w14:textId="18BF395F" w:rsidR="00E47ACE" w:rsidRPr="0090618C" w:rsidRDefault="00E47ACE" w:rsidP="0090618C">
      <w:pPr>
        <w:pStyle w:val="ListParagraph"/>
        <w:numPr>
          <w:ilvl w:val="0"/>
          <w:numId w:val="31"/>
        </w:numPr>
        <w:spacing w:before="120" w:after="120"/>
        <w:contextualSpacing w:val="0"/>
        <w:rPr>
          <w:rFonts w:ascii="Arial" w:hAnsi="Arial" w:cs="Arial"/>
          <w:sz w:val="24"/>
          <w:szCs w:val="24"/>
        </w:rPr>
      </w:pPr>
      <w:r w:rsidRPr="0090618C">
        <w:rPr>
          <w:rFonts w:ascii="Arial" w:hAnsi="Arial" w:cs="Arial"/>
          <w:i/>
          <w:iCs/>
          <w:sz w:val="24"/>
          <w:szCs w:val="24"/>
        </w:rPr>
        <w:t>Information Provided at the Initial Meetings</w:t>
      </w:r>
      <w:r w:rsidRPr="0090618C">
        <w:rPr>
          <w:rFonts w:ascii="Arial" w:hAnsi="Arial" w:cs="Arial"/>
          <w:sz w:val="24"/>
          <w:szCs w:val="24"/>
        </w:rPr>
        <w:t>: The compliance officer will provide to both the complainant and respondent the same basic information, including: </w:t>
      </w:r>
    </w:p>
    <w:p w14:paraId="6C9517E4"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available supportive </w:t>
      </w:r>
      <w:proofErr w:type="gramStart"/>
      <w:r w:rsidRPr="0090618C">
        <w:rPr>
          <w:rFonts w:ascii="Arial" w:hAnsi="Arial" w:cs="Arial"/>
          <w:sz w:val="24"/>
          <w:szCs w:val="24"/>
        </w:rPr>
        <w:t>measures;</w:t>
      </w:r>
      <w:proofErr w:type="gramEnd"/>
    </w:p>
    <w:p w14:paraId="6E7918A3" w14:textId="1C43256D"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copies of </w:t>
      </w:r>
      <w:r w:rsidR="00677F7C" w:rsidRPr="0090618C">
        <w:rPr>
          <w:rFonts w:ascii="Arial" w:hAnsi="Arial" w:cs="Arial"/>
          <w:sz w:val="24"/>
          <w:szCs w:val="24"/>
        </w:rPr>
        <w:t>the Board Nondiscrimination/Equal Opportunity Policy</w:t>
      </w:r>
      <w:r w:rsidRPr="0090618C">
        <w:rPr>
          <w:rFonts w:ascii="Arial" w:hAnsi="Arial" w:cs="Arial"/>
          <w:sz w:val="24"/>
          <w:szCs w:val="24"/>
        </w:rPr>
        <w:t xml:space="preserve"> and </w:t>
      </w:r>
      <w:proofErr w:type="gramStart"/>
      <w:r w:rsidR="00677F7C" w:rsidRPr="0090618C">
        <w:rPr>
          <w:rFonts w:ascii="Arial" w:hAnsi="Arial" w:cs="Arial"/>
          <w:sz w:val="24"/>
          <w:szCs w:val="24"/>
        </w:rPr>
        <w:t>Policy</w:t>
      </w:r>
      <w:r w:rsidR="00640CAB" w:rsidRPr="0090618C">
        <w:rPr>
          <w:rFonts w:ascii="Arial" w:hAnsi="Arial" w:cs="Arial"/>
          <w:sz w:val="24"/>
          <w:szCs w:val="24"/>
        </w:rPr>
        <w:t>;</w:t>
      </w:r>
      <w:proofErr w:type="gramEnd"/>
    </w:p>
    <w:p w14:paraId="2A782C34"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timeline for the investigation process and the </w:t>
      </w:r>
      <w:r w:rsidR="007740CA" w:rsidRPr="0090618C">
        <w:rPr>
          <w:rFonts w:ascii="Arial" w:hAnsi="Arial" w:cs="Arial"/>
          <w:sz w:val="24"/>
          <w:szCs w:val="24"/>
        </w:rPr>
        <w:t>school</w:t>
      </w:r>
      <w:r w:rsidRPr="0090618C">
        <w:rPr>
          <w:rFonts w:ascii="Arial" w:hAnsi="Arial" w:cs="Arial"/>
          <w:sz w:val="24"/>
          <w:szCs w:val="24"/>
        </w:rPr>
        <w:t xml:space="preserve">’s legal </w:t>
      </w:r>
      <w:proofErr w:type="gramStart"/>
      <w:r w:rsidRPr="0090618C">
        <w:rPr>
          <w:rFonts w:ascii="Arial" w:hAnsi="Arial" w:cs="Arial"/>
          <w:sz w:val="24"/>
          <w:szCs w:val="24"/>
        </w:rPr>
        <w:t>obligations;</w:t>
      </w:r>
      <w:proofErr w:type="gramEnd"/>
    </w:p>
    <w:p w14:paraId="6BF807BF"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the possibility of resolving the complaint informally upon agreement of all </w:t>
      </w:r>
      <w:proofErr w:type="gramStart"/>
      <w:r w:rsidRPr="0090618C">
        <w:rPr>
          <w:rFonts w:ascii="Arial" w:hAnsi="Arial" w:cs="Arial"/>
          <w:sz w:val="24"/>
          <w:szCs w:val="24"/>
        </w:rPr>
        <w:t>parties;</w:t>
      </w:r>
      <w:proofErr w:type="gramEnd"/>
    </w:p>
    <w:p w14:paraId="08D35040"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 xml:space="preserve">that the information collected is confidential, so long as confidentiality does not prevent the </w:t>
      </w:r>
      <w:r w:rsidR="007740CA" w:rsidRPr="0090618C">
        <w:rPr>
          <w:rFonts w:ascii="Arial" w:hAnsi="Arial" w:cs="Arial"/>
          <w:sz w:val="24"/>
          <w:szCs w:val="24"/>
        </w:rPr>
        <w:t xml:space="preserve">school </w:t>
      </w:r>
      <w:r w:rsidRPr="0090618C">
        <w:rPr>
          <w:rFonts w:ascii="Arial" w:hAnsi="Arial" w:cs="Arial"/>
          <w:sz w:val="24"/>
          <w:szCs w:val="24"/>
        </w:rPr>
        <w:t xml:space="preserve">from responding effectively to prohibited conduct and preventing future prohibited </w:t>
      </w:r>
      <w:proofErr w:type="gramStart"/>
      <w:r w:rsidRPr="0090618C">
        <w:rPr>
          <w:rFonts w:ascii="Arial" w:hAnsi="Arial" w:cs="Arial"/>
          <w:sz w:val="24"/>
          <w:szCs w:val="24"/>
        </w:rPr>
        <w:t>conduct;</w:t>
      </w:r>
      <w:proofErr w:type="gramEnd"/>
    </w:p>
    <w:p w14:paraId="243FA962" w14:textId="77777777" w:rsidR="00854A39"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all parties have a right to have an advisor present during all stages of the investigation; and </w:t>
      </w:r>
    </w:p>
    <w:p w14:paraId="400C7227" w14:textId="5ED17343" w:rsidR="00E47ACE" w:rsidRPr="0090618C" w:rsidRDefault="00E47ACE" w:rsidP="0090618C">
      <w:pPr>
        <w:pStyle w:val="ListParagraph"/>
        <w:numPr>
          <w:ilvl w:val="1"/>
          <w:numId w:val="30"/>
        </w:numPr>
        <w:spacing w:before="120" w:after="120"/>
        <w:contextualSpacing w:val="0"/>
        <w:rPr>
          <w:rFonts w:ascii="Arial" w:hAnsi="Arial" w:cs="Arial"/>
          <w:sz w:val="24"/>
          <w:szCs w:val="24"/>
        </w:rPr>
      </w:pPr>
      <w:r w:rsidRPr="0090618C">
        <w:rPr>
          <w:rFonts w:ascii="Arial" w:hAnsi="Arial" w:cs="Arial"/>
          <w:sz w:val="24"/>
          <w:szCs w:val="24"/>
        </w:rPr>
        <w:t>parties will be granted excused absences for any therapy, medical, legal, or victim’s services appointment associated with the report. </w:t>
      </w:r>
    </w:p>
    <w:p w14:paraId="3884242D"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4.  Informal Complaint Resolution </w:t>
      </w:r>
    </w:p>
    <w:p w14:paraId="406C9C4D"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When the compliance officer deems it appropriate, an informal resolution process may be instituted. Informal resolution is not appropriate in all circumstances. It may only be used if both parties are students and both parties agree, with agreement voluntary, non-coerced, and documented in writing. Informal resolution may not be used if the underlying offense involves sexual assault or other act of violence. No party will be forced to participate in informal resolution and either party may request an end to an informal process at any time. </w:t>
      </w:r>
    </w:p>
    <w:p w14:paraId="21B51A87" w14:textId="244B39B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If both parties feel a resolution has been achieved through informal resolution, no further action need be taken to resolve the complaint. However, within </w:t>
      </w:r>
      <w:r w:rsidRPr="00E47ACE">
        <w:rPr>
          <w:rFonts w:ascii="Arial" w:hAnsi="Arial" w:cs="Arial"/>
          <w:sz w:val="24"/>
          <w:szCs w:val="24"/>
          <w:highlight w:val="yellow"/>
        </w:rPr>
        <w:t>[six - seven]</w:t>
      </w:r>
      <w:r w:rsidRPr="00E47ACE">
        <w:rPr>
          <w:rFonts w:ascii="Arial" w:hAnsi="Arial" w:cs="Arial"/>
          <w:sz w:val="24"/>
          <w:szCs w:val="24"/>
        </w:rPr>
        <w:t xml:space="preserve"> school days following the conclusion of the informal resolution process, the compliance </w:t>
      </w:r>
      <w:r w:rsidRPr="00E47ACE">
        <w:rPr>
          <w:rFonts w:ascii="Arial" w:hAnsi="Arial" w:cs="Arial"/>
          <w:sz w:val="24"/>
          <w:szCs w:val="24"/>
        </w:rPr>
        <w:lastRenderedPageBreak/>
        <w:t xml:space="preserve">officer must prepare a written report for the parties detailing the process and any agreed upon corrective or restorative measures provided, including any steps the </w:t>
      </w:r>
      <w:r w:rsidR="007740CA" w:rsidRPr="0090618C">
        <w:rPr>
          <w:rFonts w:ascii="Arial" w:hAnsi="Arial" w:cs="Arial"/>
          <w:sz w:val="24"/>
          <w:szCs w:val="24"/>
        </w:rPr>
        <w:t>school</w:t>
      </w:r>
      <w:r w:rsidRPr="00E47ACE">
        <w:rPr>
          <w:rFonts w:ascii="Arial" w:hAnsi="Arial" w:cs="Arial"/>
          <w:sz w:val="24"/>
          <w:szCs w:val="24"/>
        </w:rPr>
        <w:t xml:space="preserve"> will take to prevent future discrimination or harassment</w:t>
      </w:r>
      <w:commentRangeStart w:id="3"/>
      <w:r w:rsidRPr="00E47ACE">
        <w:rPr>
          <w:rFonts w:ascii="Arial" w:hAnsi="Arial" w:cs="Arial"/>
          <w:sz w:val="24"/>
          <w:szCs w:val="24"/>
        </w:rPr>
        <w:t xml:space="preserve">. A copy of the report will be shared with </w:t>
      </w:r>
      <w:r w:rsidR="00935B8E">
        <w:rPr>
          <w:rFonts w:ascii="Arial" w:hAnsi="Arial" w:cs="Arial"/>
          <w:sz w:val="24"/>
          <w:szCs w:val="24"/>
        </w:rPr>
        <w:t>the Colorado Charter School Institute</w:t>
      </w:r>
      <w:commentRangeEnd w:id="3"/>
      <w:r w:rsidR="008D332F">
        <w:rPr>
          <w:rStyle w:val="CommentReference"/>
        </w:rPr>
        <w:commentReference w:id="3"/>
      </w:r>
      <w:r w:rsidRPr="00E47ACE">
        <w:rPr>
          <w:rFonts w:ascii="Arial" w:hAnsi="Arial" w:cs="Arial"/>
          <w:sz w:val="24"/>
          <w:szCs w:val="24"/>
        </w:rPr>
        <w:t>.</w:t>
      </w:r>
    </w:p>
    <w:p w14:paraId="3BC77DBE"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5.   Formal Complaint Resolution </w:t>
      </w:r>
    </w:p>
    <w:p w14:paraId="6F2FAD8C"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If informal resolution is inappropriate, unavailable, or unsuccessful, the compliance officer will engage in formal complaint resolution.</w:t>
      </w:r>
    </w:p>
    <w:p w14:paraId="5DA763A9" w14:textId="77777777" w:rsidR="00C922D4" w:rsidRPr="0090618C" w:rsidRDefault="00E47ACE" w:rsidP="0090618C">
      <w:pPr>
        <w:pStyle w:val="ListParagraph"/>
        <w:numPr>
          <w:ilvl w:val="0"/>
          <w:numId w:val="32"/>
        </w:numPr>
        <w:spacing w:before="120" w:after="120"/>
        <w:contextualSpacing w:val="0"/>
        <w:rPr>
          <w:rFonts w:ascii="Arial" w:hAnsi="Arial" w:cs="Arial"/>
          <w:sz w:val="24"/>
          <w:szCs w:val="24"/>
        </w:rPr>
      </w:pPr>
      <w:r w:rsidRPr="0090618C">
        <w:rPr>
          <w:rFonts w:ascii="Arial" w:hAnsi="Arial" w:cs="Arial"/>
          <w:i/>
          <w:iCs/>
          <w:sz w:val="24"/>
          <w:szCs w:val="24"/>
        </w:rPr>
        <w:t>Collect Evidence</w:t>
      </w:r>
      <w:r w:rsidRPr="0090618C">
        <w:rPr>
          <w:rFonts w:ascii="Arial" w:hAnsi="Arial" w:cs="Arial"/>
          <w:sz w:val="24"/>
          <w:szCs w:val="24"/>
        </w:rPr>
        <w:t xml:space="preserve">: The compliance officer will collect evidence. Evidence may be collected by interviews with parties and witnesses, reviewing any available physical or documentary information, requesting written statements, or other appropriate methods at the compliance officer’s discretion. Evidence may </w:t>
      </w:r>
      <w:proofErr w:type="gramStart"/>
      <w:r w:rsidRPr="0090618C">
        <w:rPr>
          <w:rFonts w:ascii="Arial" w:hAnsi="Arial" w:cs="Arial"/>
          <w:sz w:val="24"/>
          <w:szCs w:val="24"/>
        </w:rPr>
        <w:t>include, but</w:t>
      </w:r>
      <w:proofErr w:type="gramEnd"/>
      <w:r w:rsidRPr="0090618C">
        <w:rPr>
          <w:rFonts w:ascii="Arial" w:hAnsi="Arial" w:cs="Arial"/>
          <w:sz w:val="24"/>
          <w:szCs w:val="24"/>
        </w:rPr>
        <w:t xml:space="preserve"> is not limited to: evidence about the credibility of the parties involved; evidence about whether the respondent has engaged in other incidents of misconduct; evidence of the complainant and respondent’s respective reactions or changes in behavior following the incident; and evidence regarding whether the complainant took action to protest the conduct. </w:t>
      </w:r>
    </w:p>
    <w:p w14:paraId="145B355B" w14:textId="2609B667" w:rsidR="00E47ACE" w:rsidRPr="0090618C" w:rsidRDefault="00E47ACE" w:rsidP="0090618C">
      <w:pPr>
        <w:pStyle w:val="ListParagraph"/>
        <w:numPr>
          <w:ilvl w:val="0"/>
          <w:numId w:val="32"/>
        </w:numPr>
        <w:spacing w:before="120" w:after="120"/>
        <w:contextualSpacing w:val="0"/>
        <w:rPr>
          <w:rFonts w:ascii="Arial" w:hAnsi="Arial" w:cs="Arial"/>
          <w:sz w:val="24"/>
          <w:szCs w:val="24"/>
        </w:rPr>
      </w:pPr>
      <w:r w:rsidRPr="0090618C">
        <w:rPr>
          <w:rFonts w:ascii="Arial" w:hAnsi="Arial" w:cs="Arial"/>
          <w:i/>
          <w:iCs/>
          <w:sz w:val="24"/>
          <w:szCs w:val="24"/>
        </w:rPr>
        <w:t>Determination</w:t>
      </w:r>
      <w:r w:rsidRPr="0090618C">
        <w:rPr>
          <w:rFonts w:ascii="Arial" w:hAnsi="Arial" w:cs="Arial"/>
          <w:sz w:val="24"/>
          <w:szCs w:val="24"/>
        </w:rPr>
        <w:t>: No later than [forty-five to fifty] school days following receipt of the complaint, the compliance officer must prepare a written report which determines whether discrimination or harassment occurred. The compliance officer will apply the preponderance of the evidence standard, which means that it is more likely than not that the conduct occurred. In making this decision, all relevant circumstances must be considered by the compliance officer, including:</w:t>
      </w:r>
    </w:p>
    <w:p w14:paraId="39E387C3"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degree to which the conduct affected the complainant’s ability to participate in or benefit from the school </w:t>
      </w:r>
      <w:proofErr w:type="gramStart"/>
      <w:r w:rsidRPr="0090618C">
        <w:rPr>
          <w:rFonts w:ascii="Arial" w:hAnsi="Arial" w:cs="Arial"/>
          <w:sz w:val="24"/>
          <w:szCs w:val="24"/>
        </w:rPr>
        <w:t>environment;</w:t>
      </w:r>
      <w:proofErr w:type="gramEnd"/>
    </w:p>
    <w:p w14:paraId="7C28180C"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type, frequency and duration of the conduct, recognizing that a single incident may rise to the level of </w:t>
      </w:r>
      <w:proofErr w:type="gramStart"/>
      <w:r w:rsidRPr="0090618C">
        <w:rPr>
          <w:rFonts w:ascii="Arial" w:hAnsi="Arial" w:cs="Arial"/>
          <w:sz w:val="24"/>
          <w:szCs w:val="24"/>
        </w:rPr>
        <w:t>harassment;</w:t>
      </w:r>
      <w:proofErr w:type="gramEnd"/>
    </w:p>
    <w:p w14:paraId="486050E0"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identity of and relationship between the respondent and the </w:t>
      </w:r>
      <w:proofErr w:type="gramStart"/>
      <w:r w:rsidRPr="0090618C">
        <w:rPr>
          <w:rFonts w:ascii="Arial" w:hAnsi="Arial" w:cs="Arial"/>
          <w:sz w:val="24"/>
          <w:szCs w:val="24"/>
        </w:rPr>
        <w:t>complainant;</w:t>
      </w:r>
      <w:proofErr w:type="gramEnd"/>
    </w:p>
    <w:p w14:paraId="381D58DE"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context of the incident, including school size and location of the incident and/or other incidents at the </w:t>
      </w:r>
      <w:proofErr w:type="gramStart"/>
      <w:r w:rsidRPr="0090618C">
        <w:rPr>
          <w:rFonts w:ascii="Arial" w:hAnsi="Arial" w:cs="Arial"/>
          <w:sz w:val="24"/>
          <w:szCs w:val="24"/>
        </w:rPr>
        <w:t>school;</w:t>
      </w:r>
      <w:proofErr w:type="gramEnd"/>
    </w:p>
    <w:p w14:paraId="0477D1F6"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whether the conduct was </w:t>
      </w:r>
      <w:proofErr w:type="gramStart"/>
      <w:r w:rsidRPr="0090618C">
        <w:rPr>
          <w:rFonts w:ascii="Arial" w:hAnsi="Arial" w:cs="Arial"/>
          <w:sz w:val="24"/>
          <w:szCs w:val="24"/>
        </w:rPr>
        <w:t>threatening;</w:t>
      </w:r>
      <w:proofErr w:type="gramEnd"/>
    </w:p>
    <w:p w14:paraId="6D4B927D"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the use of epithets, slurs or other conduct that is humiliating or </w:t>
      </w:r>
      <w:proofErr w:type="gramStart"/>
      <w:r w:rsidRPr="0090618C">
        <w:rPr>
          <w:rFonts w:ascii="Arial" w:hAnsi="Arial" w:cs="Arial"/>
          <w:sz w:val="24"/>
          <w:szCs w:val="24"/>
        </w:rPr>
        <w:t>degrading;</w:t>
      </w:r>
      <w:proofErr w:type="gramEnd"/>
      <w:r w:rsidRPr="0090618C">
        <w:rPr>
          <w:rFonts w:ascii="Arial" w:hAnsi="Arial" w:cs="Arial"/>
          <w:sz w:val="24"/>
          <w:szCs w:val="24"/>
        </w:rPr>
        <w:t> </w:t>
      </w:r>
    </w:p>
    <w:p w14:paraId="714B9916"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whether the conduct or communication reflects stereotypes about an individual or group of individuals in a protected </w:t>
      </w:r>
      <w:proofErr w:type="gramStart"/>
      <w:r w:rsidRPr="0090618C">
        <w:rPr>
          <w:rFonts w:ascii="Arial" w:hAnsi="Arial" w:cs="Arial"/>
          <w:sz w:val="24"/>
          <w:szCs w:val="24"/>
        </w:rPr>
        <w:t>class;</w:t>
      </w:r>
      <w:proofErr w:type="gramEnd"/>
      <w:r w:rsidRPr="0090618C">
        <w:rPr>
          <w:rFonts w:ascii="Arial" w:hAnsi="Arial" w:cs="Arial"/>
          <w:sz w:val="24"/>
          <w:szCs w:val="24"/>
        </w:rPr>
        <w:t> </w:t>
      </w:r>
    </w:p>
    <w:p w14:paraId="005552F8"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ages and number of respondents and complainants </w:t>
      </w:r>
      <w:proofErr w:type="gramStart"/>
      <w:r w:rsidRPr="0090618C">
        <w:rPr>
          <w:rFonts w:ascii="Arial" w:hAnsi="Arial" w:cs="Arial"/>
          <w:sz w:val="24"/>
          <w:szCs w:val="24"/>
        </w:rPr>
        <w:t>involved;</w:t>
      </w:r>
      <w:proofErr w:type="gramEnd"/>
    </w:p>
    <w:p w14:paraId="27BC6230"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patterns of misconduct of the </w:t>
      </w:r>
      <w:proofErr w:type="gramStart"/>
      <w:r w:rsidRPr="0090618C">
        <w:rPr>
          <w:rFonts w:ascii="Arial" w:hAnsi="Arial" w:cs="Arial"/>
          <w:sz w:val="24"/>
          <w:szCs w:val="24"/>
        </w:rPr>
        <w:t>respondent;</w:t>
      </w:r>
      <w:proofErr w:type="gramEnd"/>
    </w:p>
    <w:p w14:paraId="68BC286F" w14:textId="77777777" w:rsidR="00C922D4"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t xml:space="preserve">real or perceived power differentials between the </w:t>
      </w:r>
      <w:proofErr w:type="gramStart"/>
      <w:r w:rsidRPr="0090618C">
        <w:rPr>
          <w:rFonts w:ascii="Arial" w:hAnsi="Arial" w:cs="Arial"/>
          <w:sz w:val="24"/>
          <w:szCs w:val="24"/>
        </w:rPr>
        <w:t>parties;</w:t>
      </w:r>
      <w:proofErr w:type="gramEnd"/>
      <w:r w:rsidRPr="0090618C">
        <w:rPr>
          <w:rFonts w:ascii="Arial" w:hAnsi="Arial" w:cs="Arial"/>
          <w:sz w:val="24"/>
          <w:szCs w:val="24"/>
        </w:rPr>
        <w:t> </w:t>
      </w:r>
    </w:p>
    <w:p w14:paraId="0A1A9810" w14:textId="1BD8D6FB" w:rsidR="00E47ACE" w:rsidRPr="0090618C" w:rsidRDefault="00E47ACE" w:rsidP="0090618C">
      <w:pPr>
        <w:pStyle w:val="ListParagraph"/>
        <w:numPr>
          <w:ilvl w:val="0"/>
          <w:numId w:val="33"/>
        </w:numPr>
        <w:spacing w:before="120" w:after="120"/>
        <w:contextualSpacing w:val="0"/>
        <w:rPr>
          <w:rFonts w:ascii="Arial" w:hAnsi="Arial" w:cs="Arial"/>
          <w:sz w:val="24"/>
          <w:szCs w:val="24"/>
        </w:rPr>
      </w:pPr>
      <w:r w:rsidRPr="0090618C">
        <w:rPr>
          <w:rFonts w:ascii="Arial" w:hAnsi="Arial" w:cs="Arial"/>
          <w:sz w:val="24"/>
          <w:szCs w:val="24"/>
        </w:rPr>
        <w:lastRenderedPageBreak/>
        <w:t>any other relevant circumstances. </w:t>
      </w:r>
    </w:p>
    <w:p w14:paraId="39485389"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The decision must include a written determination regarding responsibility, explain how and why the compliance officer reached the conclusions outlined in the report, detail any supportive measures or disciplinary sanctions already taken, and recommendations for future disciplinary measures. </w:t>
      </w:r>
    </w:p>
    <w:p w14:paraId="26B991AD" w14:textId="2043161F"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If the compliance officer is not the </w:t>
      </w:r>
      <w:r w:rsidR="00FD2E64" w:rsidRPr="0090618C">
        <w:rPr>
          <w:rFonts w:ascii="Arial" w:hAnsi="Arial" w:cs="Arial"/>
          <w:sz w:val="24"/>
          <w:szCs w:val="24"/>
        </w:rPr>
        <w:t>head of school</w:t>
      </w:r>
      <w:r w:rsidRPr="00E47ACE">
        <w:rPr>
          <w:rFonts w:ascii="Arial" w:hAnsi="Arial" w:cs="Arial"/>
          <w:sz w:val="24"/>
          <w:szCs w:val="24"/>
        </w:rPr>
        <w:t xml:space="preserve">, the compliance officer’s report is advisory and must not bind the </w:t>
      </w:r>
      <w:r w:rsidR="00802E2F" w:rsidRPr="0090618C">
        <w:rPr>
          <w:rFonts w:ascii="Arial" w:hAnsi="Arial" w:cs="Arial"/>
          <w:sz w:val="24"/>
          <w:szCs w:val="24"/>
        </w:rPr>
        <w:t>head of school</w:t>
      </w:r>
      <w:r w:rsidRPr="00E47ACE">
        <w:rPr>
          <w:rFonts w:ascii="Arial" w:hAnsi="Arial" w:cs="Arial"/>
          <w:sz w:val="24"/>
          <w:szCs w:val="24"/>
        </w:rPr>
        <w:t xml:space="preserve"> or the </w:t>
      </w:r>
      <w:r w:rsidR="007740CA" w:rsidRPr="0090618C">
        <w:rPr>
          <w:rFonts w:ascii="Arial" w:hAnsi="Arial" w:cs="Arial"/>
          <w:sz w:val="24"/>
          <w:szCs w:val="24"/>
        </w:rPr>
        <w:t>school</w:t>
      </w:r>
      <w:r w:rsidRPr="00E47ACE">
        <w:rPr>
          <w:rFonts w:ascii="Arial" w:hAnsi="Arial" w:cs="Arial"/>
          <w:sz w:val="24"/>
          <w:szCs w:val="24"/>
        </w:rPr>
        <w:t xml:space="preserve"> to any </w:t>
      </w:r>
      <w:proofErr w:type="gramStart"/>
      <w:r w:rsidRPr="00E47ACE">
        <w:rPr>
          <w:rFonts w:ascii="Arial" w:hAnsi="Arial" w:cs="Arial"/>
          <w:sz w:val="24"/>
          <w:szCs w:val="24"/>
        </w:rPr>
        <w:t>particular course</w:t>
      </w:r>
      <w:proofErr w:type="gramEnd"/>
      <w:r w:rsidRPr="00E47ACE">
        <w:rPr>
          <w:rFonts w:ascii="Arial" w:hAnsi="Arial" w:cs="Arial"/>
          <w:sz w:val="24"/>
          <w:szCs w:val="24"/>
        </w:rPr>
        <w:t xml:space="preserve"> of action or remedial measure.</w:t>
      </w:r>
    </w:p>
    <w:p w14:paraId="38166AB2" w14:textId="7541AC70"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 xml:space="preserve">If the compliance officer is the </w:t>
      </w:r>
      <w:r w:rsidR="00FD2E64" w:rsidRPr="0090618C">
        <w:rPr>
          <w:rFonts w:ascii="Arial" w:hAnsi="Arial" w:cs="Arial"/>
          <w:sz w:val="24"/>
          <w:szCs w:val="24"/>
        </w:rPr>
        <w:t>head of school</w:t>
      </w:r>
      <w:r w:rsidRPr="00E47ACE">
        <w:rPr>
          <w:rFonts w:ascii="Arial" w:hAnsi="Arial" w:cs="Arial"/>
          <w:sz w:val="24"/>
          <w:szCs w:val="24"/>
        </w:rPr>
        <w:t xml:space="preserve">, the report will include the determination of any sanctions or other actions deemed appropriate, including suspension or expulsion, pursuant to </w:t>
      </w:r>
      <w:r w:rsidR="00FE671A" w:rsidRPr="0090618C">
        <w:rPr>
          <w:rFonts w:ascii="Arial" w:hAnsi="Arial" w:cs="Arial"/>
          <w:sz w:val="24"/>
          <w:szCs w:val="24"/>
        </w:rPr>
        <w:t>the Board’s Suspension/Expulsion Policy</w:t>
      </w:r>
      <w:r w:rsidRPr="00E47ACE">
        <w:rPr>
          <w:rFonts w:ascii="Arial" w:hAnsi="Arial" w:cs="Arial"/>
          <w:sz w:val="24"/>
          <w:szCs w:val="24"/>
        </w:rPr>
        <w:t xml:space="preserve"> and/or other appropriate corrective or restorative actions.</w:t>
      </w:r>
    </w:p>
    <w:p w14:paraId="4F080821"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6.    Disciplinary Measures and Outcome </w:t>
      </w:r>
    </w:p>
    <w:p w14:paraId="022CAF30" w14:textId="3D768F7E" w:rsidR="00E47ACE" w:rsidRPr="00E47ACE" w:rsidRDefault="00E47ACE" w:rsidP="00D10A19">
      <w:pPr>
        <w:spacing w:before="120" w:after="120"/>
        <w:rPr>
          <w:rFonts w:ascii="Arial" w:hAnsi="Arial" w:cs="Arial"/>
          <w:sz w:val="24"/>
          <w:szCs w:val="24"/>
        </w:rPr>
      </w:pPr>
      <w:r w:rsidRPr="00E47ACE">
        <w:rPr>
          <w:rFonts w:ascii="Arial" w:hAnsi="Arial" w:cs="Arial"/>
          <w:sz w:val="24"/>
          <w:szCs w:val="24"/>
        </w:rPr>
        <w:t xml:space="preserve">As soon as practicable after receiving the compliance officer´s findings and recommendations, the </w:t>
      </w:r>
      <w:r w:rsidR="00FD2E64" w:rsidRPr="0090618C">
        <w:rPr>
          <w:rFonts w:ascii="Arial" w:hAnsi="Arial" w:cs="Arial"/>
          <w:sz w:val="24"/>
          <w:szCs w:val="24"/>
        </w:rPr>
        <w:t>head of school</w:t>
      </w:r>
      <w:r w:rsidRPr="00E47ACE">
        <w:rPr>
          <w:rFonts w:ascii="Arial" w:hAnsi="Arial" w:cs="Arial"/>
          <w:sz w:val="24"/>
          <w:szCs w:val="24"/>
        </w:rPr>
        <w:t xml:space="preserve"> or designee must determine any sanctions or other actions deemed appropriate, including suspension or expulsion, pursuant to </w:t>
      </w:r>
      <w:r w:rsidR="00FE671A" w:rsidRPr="0090618C">
        <w:rPr>
          <w:rFonts w:ascii="Arial" w:hAnsi="Arial" w:cs="Arial"/>
          <w:sz w:val="24"/>
          <w:szCs w:val="24"/>
        </w:rPr>
        <w:t>the Board’s Suspension/Expulsion Policy</w:t>
      </w:r>
      <w:r w:rsidRPr="00E47ACE">
        <w:rPr>
          <w:rFonts w:ascii="Arial" w:hAnsi="Arial" w:cs="Arial"/>
          <w:sz w:val="24"/>
          <w:szCs w:val="24"/>
        </w:rPr>
        <w:t> and/or other appropriate corrective or restorative actions.</w:t>
      </w:r>
      <w:r w:rsidRPr="00E47ACE">
        <w:rPr>
          <w:rFonts w:ascii="Arial" w:hAnsi="Arial" w:cs="Arial"/>
          <w:sz w:val="24"/>
          <w:szCs w:val="24"/>
        </w:rPr>
        <w:br/>
        <w:t>The reporting party or complainant will not be disciplined for any of the following acts, if they are connected to the reported incident: truancy, late arrival, drug or alcohol use, consensual sexual activity, expressing a trauma symptom, unauthorized access to facilities, reasonable self-defense against the respondent, or talking publicly about the reported harassment or discrimination. </w:t>
      </w:r>
    </w:p>
    <w:p w14:paraId="074965B6" w14:textId="01BA2104" w:rsidR="00E47ACE" w:rsidRPr="00D10A19" w:rsidRDefault="00E47ACE" w:rsidP="00D10A19">
      <w:pPr>
        <w:spacing w:before="120" w:after="120"/>
        <w:rPr>
          <w:rFonts w:ascii="Arial" w:hAnsi="Arial" w:cs="Arial"/>
          <w:sz w:val="24"/>
          <w:szCs w:val="24"/>
        </w:rPr>
      </w:pPr>
      <w:r w:rsidRPr="00D10A19">
        <w:rPr>
          <w:rFonts w:ascii="Arial" w:hAnsi="Arial" w:cs="Arial"/>
          <w:sz w:val="24"/>
          <w:szCs w:val="24"/>
        </w:rPr>
        <w:t xml:space="preserve">To the extent permitted by federal and state law, all parties, including the parents/guardians of all students involved, must be concurrently notified in writing of the final outcome of the investigation and any corrective or restorative action taken by the </w:t>
      </w:r>
      <w:r w:rsidR="007740CA" w:rsidRPr="00D10A19">
        <w:rPr>
          <w:rFonts w:ascii="Arial" w:hAnsi="Arial" w:cs="Arial"/>
          <w:sz w:val="24"/>
          <w:szCs w:val="24"/>
        </w:rPr>
        <w:t>school</w:t>
      </w:r>
      <w:r w:rsidRPr="00D10A19">
        <w:rPr>
          <w:rFonts w:ascii="Arial" w:hAnsi="Arial" w:cs="Arial"/>
          <w:sz w:val="24"/>
          <w:szCs w:val="24"/>
        </w:rPr>
        <w:t xml:space="preserve"> within </w:t>
      </w:r>
      <w:r w:rsidRPr="00D10A19">
        <w:rPr>
          <w:rFonts w:ascii="Arial" w:hAnsi="Arial" w:cs="Arial"/>
          <w:sz w:val="24"/>
          <w:szCs w:val="24"/>
          <w:highlight w:val="yellow"/>
          <w:u w:val="single"/>
        </w:rPr>
        <w:t>[three - five]</w:t>
      </w:r>
      <w:r w:rsidR="00FE671A" w:rsidRPr="00D10A19">
        <w:rPr>
          <w:rFonts w:ascii="Arial" w:hAnsi="Arial" w:cs="Arial"/>
          <w:sz w:val="24"/>
          <w:szCs w:val="24"/>
        </w:rPr>
        <w:t xml:space="preserve"> </w:t>
      </w:r>
      <w:r w:rsidRPr="00D10A19">
        <w:rPr>
          <w:rFonts w:ascii="Arial" w:hAnsi="Arial" w:cs="Arial"/>
          <w:sz w:val="24"/>
          <w:szCs w:val="24"/>
        </w:rPr>
        <w:t xml:space="preserve">school days following the </w:t>
      </w:r>
      <w:r w:rsidR="00FD2E64" w:rsidRPr="00D10A19">
        <w:rPr>
          <w:rFonts w:ascii="Arial" w:hAnsi="Arial" w:cs="Arial"/>
          <w:sz w:val="24"/>
          <w:szCs w:val="24"/>
        </w:rPr>
        <w:t>head of school</w:t>
      </w:r>
      <w:r w:rsidRPr="00D10A19">
        <w:rPr>
          <w:rFonts w:ascii="Arial" w:hAnsi="Arial" w:cs="Arial"/>
          <w:sz w:val="24"/>
          <w:szCs w:val="24"/>
        </w:rPr>
        <w:t>´s determination.</w:t>
      </w:r>
      <w:r w:rsidRPr="00D10A19">
        <w:rPr>
          <w:rFonts w:ascii="Arial" w:hAnsi="Arial" w:cs="Arial"/>
          <w:sz w:val="24"/>
          <w:szCs w:val="24"/>
        </w:rPr>
        <w:br/>
        <w:t>A copy of the compliance officer’s report, and any corrective, disciplinary or restorative actions shall be provided to the Board of Education.</w:t>
      </w:r>
    </w:p>
    <w:p w14:paraId="25CF9D1C"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Resources </w:t>
      </w:r>
    </w:p>
    <w:p w14:paraId="28CB092A" w14:textId="7777777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t>Throughout the investigation, or after the investigation concludes, affected individuals may choose to use the following resources: </w:t>
      </w:r>
    </w:p>
    <w:p w14:paraId="102B5E39" w14:textId="2D481070"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National Domestic Violence Hotline: 1−800−799−SAFE (7233)</w:t>
      </w:r>
      <w:r w:rsidRPr="00E47ACE">
        <w:rPr>
          <w:rFonts w:ascii="Arial" w:hAnsi="Arial" w:cs="Arial"/>
          <w:sz w:val="24"/>
          <w:szCs w:val="24"/>
        </w:rPr>
        <w:br/>
        <w:t>National Sexual Assault Hotline: 1-800-656-4673</w:t>
      </w:r>
    </w:p>
    <w:p w14:paraId="6ACA7740" w14:textId="77777777"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Violence Free Colorado: </w:t>
      </w:r>
      <w:hyperlink r:id="rId12" w:tgtFrame="_blank" w:history="1">
        <w:r w:rsidRPr="00E47ACE">
          <w:rPr>
            <w:rStyle w:val="Hyperlink"/>
            <w:rFonts w:ascii="Arial" w:hAnsi="Arial" w:cs="Arial"/>
            <w:sz w:val="24"/>
            <w:szCs w:val="24"/>
          </w:rPr>
          <w:t>https://www.violencefreecolorado.org/</w:t>
        </w:r>
      </w:hyperlink>
      <w:r w:rsidRPr="00E47ACE">
        <w:rPr>
          <w:rFonts w:ascii="Arial" w:hAnsi="Arial" w:cs="Arial"/>
          <w:sz w:val="24"/>
          <w:szCs w:val="24"/>
        </w:rPr>
        <w:br/>
        <w:t>The Crisis Center 24/7 Hotline: 303-688-8484</w:t>
      </w:r>
      <w:r w:rsidRPr="00E47ACE">
        <w:rPr>
          <w:rFonts w:ascii="Arial" w:hAnsi="Arial" w:cs="Arial"/>
          <w:sz w:val="24"/>
          <w:szCs w:val="24"/>
        </w:rPr>
        <w:br/>
        <w:t xml:space="preserve">Local resources for use by students include: </w:t>
      </w:r>
      <w:r w:rsidRPr="00E47ACE">
        <w:rPr>
          <w:rFonts w:ascii="Arial" w:hAnsi="Arial" w:cs="Arial"/>
          <w:sz w:val="24"/>
          <w:szCs w:val="24"/>
          <w:highlight w:val="yellow"/>
        </w:rPr>
        <w:t>[</w:t>
      </w:r>
      <w:r w:rsidRPr="00E47ACE">
        <w:rPr>
          <w:rFonts w:ascii="Arial" w:hAnsi="Arial" w:cs="Arial"/>
          <w:i/>
          <w:iCs/>
          <w:sz w:val="24"/>
          <w:szCs w:val="24"/>
          <w:highlight w:val="yellow"/>
          <w:u w:val="single"/>
        </w:rPr>
        <w:t>Insert local Resources: E.g., local sheriff’s office</w:t>
      </w:r>
      <w:r w:rsidRPr="00E47ACE">
        <w:rPr>
          <w:rFonts w:ascii="Arial" w:hAnsi="Arial" w:cs="Arial"/>
          <w:sz w:val="24"/>
          <w:szCs w:val="24"/>
          <w:highlight w:val="yellow"/>
        </w:rPr>
        <w:t>]</w:t>
      </w:r>
    </w:p>
    <w:p w14:paraId="744DBFD4" w14:textId="77777777" w:rsidR="00E47ACE" w:rsidRPr="00E47ACE" w:rsidRDefault="00E47ACE" w:rsidP="0090618C">
      <w:pPr>
        <w:spacing w:before="120" w:after="120"/>
        <w:rPr>
          <w:rFonts w:ascii="Arial" w:hAnsi="Arial" w:cs="Arial"/>
          <w:sz w:val="24"/>
          <w:szCs w:val="24"/>
        </w:rPr>
      </w:pPr>
      <w:r w:rsidRPr="00E47ACE">
        <w:rPr>
          <w:rFonts w:ascii="Arial" w:hAnsi="Arial" w:cs="Arial"/>
          <w:b/>
          <w:bCs/>
          <w:sz w:val="24"/>
          <w:szCs w:val="24"/>
        </w:rPr>
        <w:t>Outside Agencies</w:t>
      </w:r>
    </w:p>
    <w:p w14:paraId="65C52E0F" w14:textId="70D68F97" w:rsidR="00E47ACE" w:rsidRPr="00E47ACE" w:rsidRDefault="00E47ACE" w:rsidP="0090618C">
      <w:pPr>
        <w:spacing w:before="120" w:after="120"/>
        <w:rPr>
          <w:rFonts w:ascii="Arial" w:hAnsi="Arial" w:cs="Arial"/>
          <w:sz w:val="24"/>
          <w:szCs w:val="24"/>
        </w:rPr>
      </w:pPr>
      <w:r w:rsidRPr="00E47ACE">
        <w:rPr>
          <w:rFonts w:ascii="Arial" w:hAnsi="Arial" w:cs="Arial"/>
          <w:sz w:val="24"/>
          <w:szCs w:val="24"/>
        </w:rPr>
        <w:lastRenderedPageBreak/>
        <w:t xml:space="preserve">In addition to, or as an alternative to, filing a complaint pursuant to this </w:t>
      </w:r>
      <w:r w:rsidR="00331D79" w:rsidRPr="0090618C">
        <w:rPr>
          <w:rFonts w:ascii="Arial" w:hAnsi="Arial" w:cs="Arial"/>
          <w:sz w:val="24"/>
          <w:szCs w:val="24"/>
        </w:rPr>
        <w:t>policy</w:t>
      </w:r>
      <w:r w:rsidRPr="00E47ACE">
        <w:rPr>
          <w:rFonts w:ascii="Arial" w:hAnsi="Arial" w:cs="Arial"/>
          <w:sz w:val="24"/>
          <w:szCs w:val="24"/>
        </w:rPr>
        <w:t>, a person may file a discrimination complaint with the U.S. Department of Education, Office for Civil Rights (OCR); the Federal Office of Equal Employment Opportunity Commission (EEOC); or the Colorado Civil Rights Division (CCRD). The addresses of these agencies are listed below.</w:t>
      </w:r>
    </w:p>
    <w:p w14:paraId="5884F400" w14:textId="77777777"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Denver Office for Civil Rights (OCR)</w:t>
      </w:r>
      <w:r w:rsidRPr="00E47ACE">
        <w:rPr>
          <w:rFonts w:ascii="Arial" w:hAnsi="Arial" w:cs="Arial"/>
          <w:sz w:val="24"/>
          <w:szCs w:val="24"/>
        </w:rPr>
        <w:br/>
        <w:t>U.S. Department of Education</w:t>
      </w:r>
      <w:r w:rsidRPr="00E47ACE">
        <w:rPr>
          <w:rFonts w:ascii="Arial" w:hAnsi="Arial" w:cs="Arial"/>
          <w:sz w:val="24"/>
          <w:szCs w:val="24"/>
        </w:rPr>
        <w:br/>
        <w:t>1244 Speer Blvd., Suite 310, Denver, CO 80204-3582</w:t>
      </w:r>
      <w:r w:rsidRPr="00E47ACE">
        <w:rPr>
          <w:rFonts w:ascii="Arial" w:hAnsi="Arial" w:cs="Arial"/>
          <w:sz w:val="24"/>
          <w:szCs w:val="24"/>
        </w:rPr>
        <w:br/>
        <w:t>Telephone: 303-844-5695</w:t>
      </w:r>
      <w:r w:rsidRPr="00E47ACE">
        <w:rPr>
          <w:rFonts w:ascii="Arial" w:hAnsi="Arial" w:cs="Arial"/>
          <w:sz w:val="24"/>
          <w:szCs w:val="24"/>
        </w:rPr>
        <w:br/>
        <w:t>Fax: 303-844-4303 </w:t>
      </w:r>
      <w:r w:rsidRPr="00E47ACE">
        <w:rPr>
          <w:rFonts w:ascii="Arial" w:hAnsi="Arial" w:cs="Arial"/>
          <w:sz w:val="24"/>
          <w:szCs w:val="24"/>
        </w:rPr>
        <w:br/>
        <w:t>TTY: 303-844-3417.</w:t>
      </w:r>
      <w:r w:rsidRPr="00E47ACE">
        <w:rPr>
          <w:rFonts w:ascii="Arial" w:hAnsi="Arial" w:cs="Arial"/>
          <w:sz w:val="24"/>
          <w:szCs w:val="24"/>
        </w:rPr>
        <w:br/>
        <w:t>Email: OCR.  Denver @ed.gov</w:t>
      </w:r>
    </w:p>
    <w:p w14:paraId="7F919C2E" w14:textId="77777777"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Federal Office of Equal Employment Opportunity Commission (EEOC)</w:t>
      </w:r>
      <w:r w:rsidRPr="00E47ACE">
        <w:rPr>
          <w:rFonts w:ascii="Arial" w:hAnsi="Arial" w:cs="Arial"/>
          <w:sz w:val="24"/>
          <w:szCs w:val="24"/>
        </w:rPr>
        <w:br/>
        <w:t>303 E. 17th Avenue, Suite 410, Denver, CO 80203</w:t>
      </w:r>
      <w:r w:rsidRPr="00E47ACE">
        <w:rPr>
          <w:rFonts w:ascii="Arial" w:hAnsi="Arial" w:cs="Arial"/>
          <w:sz w:val="24"/>
          <w:szCs w:val="24"/>
        </w:rPr>
        <w:br/>
        <w:t>Telephone: 800-669-4000 </w:t>
      </w:r>
      <w:r w:rsidRPr="00E47ACE">
        <w:rPr>
          <w:rFonts w:ascii="Arial" w:hAnsi="Arial" w:cs="Arial"/>
          <w:sz w:val="24"/>
          <w:szCs w:val="24"/>
        </w:rPr>
        <w:br/>
        <w:t>Fax: 303-866-1085</w:t>
      </w:r>
      <w:r w:rsidRPr="00E47ACE">
        <w:rPr>
          <w:rFonts w:ascii="Arial" w:hAnsi="Arial" w:cs="Arial"/>
          <w:sz w:val="24"/>
          <w:szCs w:val="24"/>
        </w:rPr>
        <w:br/>
        <w:t>TTY: 800-669-6820</w:t>
      </w:r>
      <w:r w:rsidRPr="00E47ACE">
        <w:rPr>
          <w:rFonts w:ascii="Arial" w:hAnsi="Arial" w:cs="Arial"/>
          <w:sz w:val="24"/>
          <w:szCs w:val="24"/>
        </w:rPr>
        <w:br/>
        <w:t>ASL Video Phone:  844-234-5122</w:t>
      </w:r>
      <w:r w:rsidRPr="00E47ACE">
        <w:rPr>
          <w:rFonts w:ascii="Arial" w:hAnsi="Arial" w:cs="Arial"/>
          <w:sz w:val="24"/>
          <w:szCs w:val="24"/>
        </w:rPr>
        <w:br/>
        <w:t>Website: </w:t>
      </w:r>
      <w:hyperlink r:id="rId13" w:tgtFrame="_blank" w:history="1">
        <w:r w:rsidRPr="00E47ACE">
          <w:rPr>
            <w:rStyle w:val="Hyperlink"/>
            <w:rFonts w:ascii="Arial" w:hAnsi="Arial" w:cs="Arial"/>
            <w:sz w:val="24"/>
            <w:szCs w:val="24"/>
          </w:rPr>
          <w:t>https://publicportal.eeoc.gov/portal/</w:t>
        </w:r>
      </w:hyperlink>
    </w:p>
    <w:p w14:paraId="10219E67" w14:textId="77777777" w:rsidR="00E47ACE" w:rsidRPr="00E47ACE" w:rsidRDefault="00E47ACE" w:rsidP="0090618C">
      <w:pPr>
        <w:spacing w:before="120" w:after="120"/>
        <w:jc w:val="center"/>
        <w:rPr>
          <w:rFonts w:ascii="Arial" w:hAnsi="Arial" w:cs="Arial"/>
          <w:sz w:val="24"/>
          <w:szCs w:val="24"/>
        </w:rPr>
      </w:pPr>
      <w:r w:rsidRPr="00E47ACE">
        <w:rPr>
          <w:rFonts w:ascii="Arial" w:hAnsi="Arial" w:cs="Arial"/>
          <w:sz w:val="24"/>
          <w:szCs w:val="24"/>
        </w:rPr>
        <w:t>Colorado Civil Rights Division (CCRD)</w:t>
      </w:r>
      <w:r w:rsidRPr="00E47ACE">
        <w:rPr>
          <w:rFonts w:ascii="Arial" w:hAnsi="Arial" w:cs="Arial"/>
          <w:sz w:val="24"/>
          <w:szCs w:val="24"/>
        </w:rPr>
        <w:br/>
        <w:t>1560 Broadway, Suite 825, Denver, CO 80202</w:t>
      </w:r>
      <w:r w:rsidRPr="00E47ACE">
        <w:rPr>
          <w:rFonts w:ascii="Arial" w:hAnsi="Arial" w:cs="Arial"/>
          <w:sz w:val="24"/>
          <w:szCs w:val="24"/>
        </w:rPr>
        <w:br/>
        <w:t>Telephone: 303-894-2997 or 800-886-7675</w:t>
      </w:r>
      <w:r w:rsidRPr="00E47ACE">
        <w:rPr>
          <w:rFonts w:ascii="Arial" w:hAnsi="Arial" w:cs="Arial"/>
          <w:sz w:val="24"/>
          <w:szCs w:val="24"/>
        </w:rPr>
        <w:br/>
        <w:t>Fax: 303-894-7830</w:t>
      </w:r>
      <w:r w:rsidRPr="00E47ACE">
        <w:rPr>
          <w:rFonts w:ascii="Arial" w:hAnsi="Arial" w:cs="Arial"/>
          <w:sz w:val="24"/>
          <w:szCs w:val="24"/>
        </w:rPr>
        <w:br/>
        <w:t>Email: DORA_CCRD@state.co.us (general inquiries),</w:t>
      </w:r>
      <w:r w:rsidRPr="00E47ACE">
        <w:rPr>
          <w:rFonts w:ascii="Arial" w:hAnsi="Arial" w:cs="Arial"/>
          <w:sz w:val="24"/>
          <w:szCs w:val="24"/>
        </w:rPr>
        <w:br/>
        <w:t>DORA_CCRDIntake@state.co.us (intake unit)</w:t>
      </w:r>
    </w:p>
    <w:p w14:paraId="0D312134" w14:textId="77777777" w:rsidR="00203D25" w:rsidRPr="0090618C" w:rsidRDefault="00203D25" w:rsidP="0090618C">
      <w:pPr>
        <w:spacing w:before="120" w:after="120"/>
        <w:rPr>
          <w:rFonts w:ascii="Arial" w:hAnsi="Arial" w:cs="Arial"/>
          <w:sz w:val="24"/>
          <w:szCs w:val="24"/>
        </w:rPr>
      </w:pPr>
    </w:p>
    <w:p w14:paraId="17A88D61" w14:textId="77777777" w:rsidR="00203D25" w:rsidRPr="0090618C" w:rsidRDefault="00203D25" w:rsidP="0090618C">
      <w:pPr>
        <w:spacing w:before="120" w:after="120" w:line="240" w:lineRule="auto"/>
        <w:rPr>
          <w:rFonts w:ascii="Arial" w:hAnsi="Arial" w:cs="Arial"/>
          <w:b/>
          <w:sz w:val="24"/>
          <w:szCs w:val="24"/>
        </w:rPr>
      </w:pPr>
      <w:r w:rsidRPr="0090618C">
        <w:rPr>
          <w:rFonts w:ascii="Arial" w:hAnsi="Arial" w:cs="Arial"/>
          <w:b/>
          <w:sz w:val="24"/>
          <w:szCs w:val="24"/>
        </w:rPr>
        <w:t>Adopted:  XXX, 20XX</w:t>
      </w:r>
    </w:p>
    <w:p w14:paraId="38448EBE" w14:textId="77777777" w:rsidR="00203D25" w:rsidRPr="0090618C" w:rsidRDefault="00203D25" w:rsidP="0090618C">
      <w:pPr>
        <w:pStyle w:val="NoSpacing"/>
        <w:spacing w:before="120" w:after="120"/>
        <w:rPr>
          <w:rFonts w:ascii="Arial" w:hAnsi="Arial" w:cs="Arial"/>
          <w:b/>
          <w:bCs/>
          <w:sz w:val="24"/>
          <w:szCs w:val="24"/>
        </w:rPr>
      </w:pPr>
    </w:p>
    <w:p w14:paraId="3924D3F5" w14:textId="77777777" w:rsidR="00203D25" w:rsidRDefault="00203D25" w:rsidP="0090618C">
      <w:pPr>
        <w:pStyle w:val="NoSpacing"/>
        <w:spacing w:before="120" w:after="120"/>
        <w:rPr>
          <w:rFonts w:ascii="Arial" w:hAnsi="Arial" w:cs="Arial"/>
          <w:b/>
          <w:bCs/>
          <w:sz w:val="24"/>
          <w:szCs w:val="24"/>
        </w:rPr>
      </w:pPr>
      <w:r w:rsidRPr="0090618C">
        <w:rPr>
          <w:rFonts w:ascii="Arial" w:hAnsi="Arial" w:cs="Arial"/>
          <w:b/>
          <w:bCs/>
          <w:sz w:val="24"/>
          <w:szCs w:val="24"/>
        </w:rPr>
        <w:t>LEGAL REFS.:</w:t>
      </w:r>
    </w:p>
    <w:p w14:paraId="23237AB6" w14:textId="4751DA6E" w:rsidR="00757A04" w:rsidRPr="00CA21B7" w:rsidRDefault="00CA21B7" w:rsidP="0090618C">
      <w:pPr>
        <w:pStyle w:val="NoSpacing"/>
        <w:spacing w:before="120" w:after="120"/>
        <w:rPr>
          <w:rFonts w:ascii="Arial" w:hAnsi="Arial" w:cs="Arial"/>
          <w:i/>
          <w:iCs/>
          <w:sz w:val="24"/>
          <w:szCs w:val="24"/>
        </w:rPr>
      </w:pPr>
      <w:r w:rsidRPr="00CA21B7">
        <w:rPr>
          <w:rFonts w:ascii="Arial" w:hAnsi="Arial" w:cs="Arial"/>
          <w:sz w:val="24"/>
          <w:szCs w:val="24"/>
        </w:rPr>
        <w:t>C.R.S. 22-1-143</w:t>
      </w:r>
      <w:r>
        <w:rPr>
          <w:rFonts w:ascii="Arial" w:hAnsi="Arial" w:cs="Arial"/>
          <w:sz w:val="24"/>
          <w:szCs w:val="24"/>
        </w:rPr>
        <w:t xml:space="preserve"> </w:t>
      </w:r>
      <w:r>
        <w:rPr>
          <w:rFonts w:ascii="Arial" w:hAnsi="Arial" w:cs="Arial"/>
          <w:i/>
          <w:iCs/>
          <w:sz w:val="24"/>
          <w:szCs w:val="24"/>
        </w:rPr>
        <w:t>(harassment or discrimination – policy required)</w:t>
      </w:r>
    </w:p>
    <w:p w14:paraId="5819122B" w14:textId="77777777" w:rsidR="00833E8D" w:rsidRPr="0090618C" w:rsidRDefault="00833E8D" w:rsidP="00514756">
      <w:pPr>
        <w:spacing w:before="120" w:after="120"/>
        <w:rPr>
          <w:rFonts w:ascii="Arial" w:hAnsi="Arial" w:cs="Arial"/>
          <w:b/>
          <w:bCs/>
          <w:sz w:val="24"/>
          <w:szCs w:val="24"/>
        </w:rPr>
      </w:pPr>
    </w:p>
    <w:sectPr w:rsidR="00833E8D" w:rsidRPr="009061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agon, Stephanie" w:date="2024-07-31T12:24:00Z" w:initials="SA">
    <w:p w14:paraId="18321276" w14:textId="77777777" w:rsidR="00935B8E" w:rsidRDefault="00935B8E" w:rsidP="00935B8E">
      <w:pPr>
        <w:pStyle w:val="CommentText"/>
      </w:pPr>
      <w:r>
        <w:rPr>
          <w:rStyle w:val="CommentReference"/>
        </w:rPr>
        <w:annotationRef/>
      </w:r>
      <w:r>
        <w:rPr>
          <w:color w:val="000000"/>
        </w:rPr>
        <w:t>SB23-296 requires that this policy and/or procedures protecting students from harassment must be made available in the following ways:</w:t>
      </w:r>
      <w:r>
        <w:rPr>
          <w:color w:val="000000"/>
        </w:rPr>
        <w:br/>
      </w:r>
      <w:r>
        <w:rPr>
          <w:color w:val="000000"/>
        </w:rPr>
        <w:br/>
        <w:t>•  displayed prominently on the school’s website</w:t>
      </w:r>
      <w:r>
        <w:rPr>
          <w:color w:val="000000"/>
        </w:rPr>
        <w:br/>
        <w:t>•  annually distributed electronically and separately from any other document to:</w:t>
      </w:r>
      <w:r>
        <w:rPr>
          <w:color w:val="000000"/>
        </w:rPr>
        <w:br/>
        <w:t>    o  parents and guardians of all students</w:t>
      </w:r>
      <w:r>
        <w:rPr>
          <w:color w:val="000000"/>
        </w:rPr>
        <w:br/>
        <w:t>    o  separately to students who are in sixth through twelfth grade</w:t>
      </w:r>
      <w:r>
        <w:rPr>
          <w:color w:val="000000"/>
        </w:rPr>
        <w:br/>
        <w:t>•  provided via physical copy to each incoming student and their parent/guardian upon request</w:t>
      </w:r>
      <w:r>
        <w:rPr>
          <w:color w:val="000000"/>
        </w:rPr>
        <w:br/>
        <w:t>•  annually distributed to employees</w:t>
      </w:r>
      <w:r>
        <w:t xml:space="preserve"> </w:t>
      </w:r>
    </w:p>
    <w:p w14:paraId="53FAF7CE" w14:textId="77777777" w:rsidR="00935B8E" w:rsidRDefault="00935B8E" w:rsidP="00935B8E">
      <w:pPr>
        <w:pStyle w:val="CommentText"/>
      </w:pPr>
    </w:p>
    <w:p w14:paraId="5E0189DA" w14:textId="77777777" w:rsidR="00935B8E" w:rsidRDefault="00935B8E" w:rsidP="00935B8E">
      <w:pPr>
        <w:pStyle w:val="CommentText"/>
      </w:pPr>
      <w:r>
        <w:rPr>
          <w:color w:val="000000"/>
        </w:rPr>
        <w:t>All policies distributed to parents/guardians or students must be available in Spanish upon request.</w:t>
      </w:r>
      <w:r>
        <w:t xml:space="preserve"> </w:t>
      </w:r>
    </w:p>
    <w:p w14:paraId="7C125F3C" w14:textId="77777777" w:rsidR="00935B8E" w:rsidRDefault="00935B8E" w:rsidP="00935B8E">
      <w:pPr>
        <w:pStyle w:val="CommentText"/>
      </w:pPr>
    </w:p>
    <w:p w14:paraId="7CE1D098" w14:textId="77777777" w:rsidR="00935B8E" w:rsidRDefault="00935B8E" w:rsidP="00935B8E">
      <w:pPr>
        <w:pStyle w:val="CommentText"/>
      </w:pPr>
      <w:r>
        <w:rPr>
          <w:color w:val="000000"/>
        </w:rPr>
        <w:t>Additionally, each public school is required to post notices in multiple places in the school, written in simple and age-appropriate language, describing how and to whom a student can report harassment or discrimination to the school. The notices must be conspicuously posted in easily accessible and well-lit places customarily frequented by students and employees. Bathroom stalls or hallways could be appropriate places to post notices.</w:t>
      </w:r>
      <w:r>
        <w:t xml:space="preserve"> </w:t>
      </w:r>
    </w:p>
  </w:comment>
  <w:comment w:id="1" w:author="Aragon, Stephanie" w:date="2024-07-31T12:23:00Z" w:initials="SA">
    <w:p w14:paraId="74F1F34D" w14:textId="77777777" w:rsidR="00881FD0" w:rsidRDefault="00935B8E" w:rsidP="00881FD0">
      <w:pPr>
        <w:pStyle w:val="CommentText"/>
      </w:pPr>
      <w:r>
        <w:rPr>
          <w:rStyle w:val="CommentReference"/>
        </w:rPr>
        <w:annotationRef/>
      </w:r>
      <w:r w:rsidR="00881FD0">
        <w:t>Add hyperlink to corresponding school policy.</w:t>
      </w:r>
    </w:p>
  </w:comment>
  <w:comment w:id="2" w:author="Aragon, Stephanie" w:date="2024-06-18T23:56:00Z" w:initials="AS">
    <w:p w14:paraId="2AA5A203" w14:textId="6980DB2E" w:rsidR="00935B8E" w:rsidRDefault="00874B04" w:rsidP="00935B8E">
      <w:pPr>
        <w:pStyle w:val="CommentText"/>
      </w:pPr>
      <w:r>
        <w:rPr>
          <w:rStyle w:val="CommentReference"/>
        </w:rPr>
        <w:annotationRef/>
      </w:r>
      <w:r w:rsidR="00935B8E">
        <w:rPr>
          <w:color w:val="000000"/>
        </w:rPr>
        <w:t>State law requires schools to make a good faith effort to complete an investigation into discrimination and harassment within sixty days after receiving a report. C.R.S. </w:t>
      </w:r>
      <w:hyperlink r:id="rId1" w:history="1">
        <w:r w:rsidR="00935B8E" w:rsidRPr="00317A1B">
          <w:rPr>
            <w:rStyle w:val="Hyperlink"/>
          </w:rPr>
          <w:t>22-1-143</w:t>
        </w:r>
      </w:hyperlink>
      <w:r w:rsidR="00935B8E">
        <w:rPr>
          <w:color w:val="000000"/>
        </w:rPr>
        <w:t>(2)(d)(I). There is a possible thirty-day extension for good cause with prior written notice of the reasons for the delay, or at the request of a law enforcement agency. Based on the sixty day requirement, this sample policy includes suggested timelines for completion of various parts of the investigation. Schools may deviate from the recommendations, but should make sure that their policy’s timeline does not exceed 60 days. </w:t>
      </w:r>
      <w:r w:rsidR="00935B8E">
        <w:t xml:space="preserve"> </w:t>
      </w:r>
    </w:p>
  </w:comment>
  <w:comment w:id="3" w:author="Aragon, Stephanie" w:date="2024-07-31T13:18:00Z" w:initials="SA">
    <w:p w14:paraId="544A49A1" w14:textId="77777777" w:rsidR="008D332F" w:rsidRDefault="008D332F" w:rsidP="008D332F">
      <w:pPr>
        <w:pStyle w:val="CommentText"/>
      </w:pPr>
      <w:r>
        <w:rPr>
          <w:rStyle w:val="CommentReference"/>
        </w:rPr>
        <w:annotationRef/>
      </w:r>
      <w:r>
        <w:rPr>
          <w:color w:val="000000"/>
        </w:rPr>
        <w:t xml:space="preserve">Beginning July 1, 2025, schools will be required to report the below information for the previous 12 months. </w:t>
      </w:r>
      <w:r>
        <w:rPr>
          <w:color w:val="000000"/>
        </w:rPr>
        <w:br/>
        <w:t>●    Number of formal harassment or discrimination reports received by the school and the type of bias reported when harassment or discrimination was found</w:t>
      </w:r>
      <w:r>
        <w:rPr>
          <w:color w:val="000000"/>
        </w:rPr>
        <w:br/>
        <w:t>●    The time to complete each investigation and make findings related to each report. </w:t>
      </w:r>
      <w:r>
        <w:t xml:space="preserve"> </w:t>
      </w:r>
    </w:p>
    <w:p w14:paraId="40F79AC0" w14:textId="77777777" w:rsidR="008D332F" w:rsidRDefault="008D332F" w:rsidP="008D332F">
      <w:pPr>
        <w:pStyle w:val="CommentText"/>
      </w:pPr>
    </w:p>
    <w:p w14:paraId="7B4302E4" w14:textId="77777777" w:rsidR="008D332F" w:rsidRDefault="008D332F" w:rsidP="008D332F">
      <w:pPr>
        <w:pStyle w:val="CommentText"/>
      </w:pPr>
      <w:r>
        <w:rPr>
          <w:color w:val="000000"/>
        </w:rPr>
        <w:t>CSI will report the information to the Colorado Department of Education by August 1, 2025. The information must be aggregated and must not include personally identifiable information about the parties.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E1D098" w15:done="0"/>
  <w15:commentEx w15:paraId="74F1F34D" w15:done="0"/>
  <w15:commentEx w15:paraId="2AA5A203" w15:done="0"/>
  <w15:commentEx w15:paraId="7B430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0296C1" w16cex:dateUtc="2024-07-31T18:24:00Z"/>
  <w16cex:commentExtensible w16cex:durableId="59F4163A" w16cex:dateUtc="2024-07-31T18:23:00Z"/>
  <w16cex:commentExtensible w16cex:durableId="5BED6D6A" w16cex:dateUtc="2024-06-19T05:56:00Z"/>
  <w16cex:commentExtensible w16cex:durableId="05602B0D" w16cex:dateUtc="2024-07-31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E1D098" w16cid:durableId="530296C1"/>
  <w16cid:commentId w16cid:paraId="74F1F34D" w16cid:durableId="59F4163A"/>
  <w16cid:commentId w16cid:paraId="2AA5A203" w16cid:durableId="5BED6D6A"/>
  <w16cid:commentId w16cid:paraId="7B4302E4" w16cid:durableId="05602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9B6A7" w14:textId="77777777" w:rsidR="00C611F5" w:rsidRDefault="00C611F5" w:rsidP="00203D25">
      <w:pPr>
        <w:spacing w:after="0" w:line="240" w:lineRule="auto"/>
      </w:pPr>
      <w:r>
        <w:separator/>
      </w:r>
    </w:p>
  </w:endnote>
  <w:endnote w:type="continuationSeparator" w:id="0">
    <w:p w14:paraId="231F8FBD" w14:textId="77777777" w:rsidR="00C611F5" w:rsidRDefault="00C611F5" w:rsidP="0020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5DBC" w14:textId="77777777" w:rsidR="00203D25" w:rsidRDefault="0020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4181" w14:textId="77777777" w:rsidR="00203D25" w:rsidRDefault="00203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8E36" w14:textId="77777777" w:rsidR="00203D25" w:rsidRDefault="0020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5DAAE" w14:textId="77777777" w:rsidR="00C611F5" w:rsidRDefault="00C611F5" w:rsidP="00203D25">
      <w:pPr>
        <w:spacing w:after="0" w:line="240" w:lineRule="auto"/>
      </w:pPr>
      <w:r>
        <w:separator/>
      </w:r>
    </w:p>
  </w:footnote>
  <w:footnote w:type="continuationSeparator" w:id="0">
    <w:p w14:paraId="43E89FA7" w14:textId="77777777" w:rsidR="00C611F5" w:rsidRDefault="00C611F5" w:rsidP="0020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38C7" w14:textId="77777777" w:rsidR="00203D25" w:rsidRDefault="0020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704286"/>
      <w:docPartObj>
        <w:docPartGallery w:val="Watermarks"/>
        <w:docPartUnique/>
      </w:docPartObj>
    </w:sdtPr>
    <w:sdtContent>
      <w:p w14:paraId="082472AA" w14:textId="1EE15D3C" w:rsidR="00203D25" w:rsidRDefault="00000000">
        <w:pPr>
          <w:pStyle w:val="Header"/>
        </w:pPr>
        <w:r>
          <w:rPr>
            <w:noProof/>
          </w:rPr>
          <w:pict w14:anchorId="249F0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D095" w14:textId="77777777" w:rsidR="00203D25" w:rsidRDefault="0020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8C5"/>
    <w:multiLevelType w:val="hybridMultilevel"/>
    <w:tmpl w:val="8A2E6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03421"/>
    <w:multiLevelType w:val="multilevel"/>
    <w:tmpl w:val="44A2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C3533"/>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CE0C20"/>
    <w:multiLevelType w:val="multilevel"/>
    <w:tmpl w:val="B97E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D46BD"/>
    <w:multiLevelType w:val="multilevel"/>
    <w:tmpl w:val="F43E8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560"/>
    <w:multiLevelType w:val="multilevel"/>
    <w:tmpl w:val="5378A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1B05"/>
    <w:multiLevelType w:val="hybridMultilevel"/>
    <w:tmpl w:val="74AEC3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961501"/>
    <w:multiLevelType w:val="hybridMultilevel"/>
    <w:tmpl w:val="F3083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846A03"/>
    <w:multiLevelType w:val="multilevel"/>
    <w:tmpl w:val="7EB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82500"/>
    <w:multiLevelType w:val="multilevel"/>
    <w:tmpl w:val="592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A2793"/>
    <w:multiLevelType w:val="hybridMultilevel"/>
    <w:tmpl w:val="7F6CB4CC"/>
    <w:lvl w:ilvl="0" w:tplc="BC2C7F56">
      <w:start w:val="3"/>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7C13F01"/>
    <w:multiLevelType w:val="multilevel"/>
    <w:tmpl w:val="BA4CAF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7EA08E0"/>
    <w:multiLevelType w:val="hybridMultilevel"/>
    <w:tmpl w:val="FD6E1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F160BC8"/>
    <w:multiLevelType w:val="multilevel"/>
    <w:tmpl w:val="580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F64AC"/>
    <w:multiLevelType w:val="hybridMultilevel"/>
    <w:tmpl w:val="C11E4A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0694230"/>
    <w:multiLevelType w:val="hybridMultilevel"/>
    <w:tmpl w:val="C0C8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D4153"/>
    <w:multiLevelType w:val="multilevel"/>
    <w:tmpl w:val="6A825D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45DC5B44"/>
    <w:multiLevelType w:val="hybridMultilevel"/>
    <w:tmpl w:val="FA1E0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BF083E"/>
    <w:multiLevelType w:val="multilevel"/>
    <w:tmpl w:val="C64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0E21"/>
    <w:multiLevelType w:val="multilevel"/>
    <w:tmpl w:val="6A7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E09FD"/>
    <w:multiLevelType w:val="multilevel"/>
    <w:tmpl w:val="C73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157EA"/>
    <w:multiLevelType w:val="hybridMultilevel"/>
    <w:tmpl w:val="7750CB3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F287AB7"/>
    <w:multiLevelType w:val="multilevel"/>
    <w:tmpl w:val="0CB8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C0123F"/>
    <w:multiLevelType w:val="multilevel"/>
    <w:tmpl w:val="4490A1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40A569E"/>
    <w:multiLevelType w:val="hybridMultilevel"/>
    <w:tmpl w:val="5024C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44777D7"/>
    <w:multiLevelType w:val="hybridMultilevel"/>
    <w:tmpl w:val="4AC61A5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5B021C18"/>
    <w:multiLevelType w:val="hybridMultilevel"/>
    <w:tmpl w:val="17046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53725"/>
    <w:multiLevelType w:val="multilevel"/>
    <w:tmpl w:val="AF5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B7A6B"/>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5AF2F91"/>
    <w:multiLevelType w:val="hybridMultilevel"/>
    <w:tmpl w:val="64E4FB46"/>
    <w:lvl w:ilvl="0" w:tplc="121877BA">
      <w:start w:val="1"/>
      <w:numFmt w:val="bullet"/>
      <w:lvlText w:val=" "/>
      <w:lvlJc w:val="left"/>
      <w:pPr>
        <w:tabs>
          <w:tab w:val="num" w:pos="720"/>
        </w:tabs>
        <w:ind w:left="720" w:hanging="360"/>
      </w:pPr>
      <w:rPr>
        <w:rFonts w:ascii="Calibri" w:hAnsi="Calibri"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B43A89BC">
      <w:start w:val="1"/>
      <w:numFmt w:val="bullet"/>
      <w:lvlText w:val=" "/>
      <w:lvlJc w:val="left"/>
      <w:pPr>
        <w:tabs>
          <w:tab w:val="num" w:pos="2880"/>
        </w:tabs>
        <w:ind w:left="2880" w:hanging="360"/>
      </w:pPr>
      <w:rPr>
        <w:rFonts w:ascii="Calibri" w:hAnsi="Calibri" w:cs="Times New Roman" w:hint="default"/>
      </w:rPr>
    </w:lvl>
    <w:lvl w:ilvl="4" w:tplc="7E70FF08">
      <w:start w:val="1"/>
      <w:numFmt w:val="bullet"/>
      <w:lvlText w:val=" "/>
      <w:lvlJc w:val="left"/>
      <w:pPr>
        <w:tabs>
          <w:tab w:val="num" w:pos="3600"/>
        </w:tabs>
        <w:ind w:left="3600" w:hanging="360"/>
      </w:pPr>
      <w:rPr>
        <w:rFonts w:ascii="Calibri" w:hAnsi="Calibri" w:cs="Times New Roman" w:hint="default"/>
      </w:rPr>
    </w:lvl>
    <w:lvl w:ilvl="5" w:tplc="A4921F0A">
      <w:start w:val="1"/>
      <w:numFmt w:val="bullet"/>
      <w:lvlText w:val=" "/>
      <w:lvlJc w:val="left"/>
      <w:pPr>
        <w:tabs>
          <w:tab w:val="num" w:pos="4320"/>
        </w:tabs>
        <w:ind w:left="4320" w:hanging="360"/>
      </w:pPr>
      <w:rPr>
        <w:rFonts w:ascii="Calibri" w:hAnsi="Calibri" w:cs="Times New Roman" w:hint="default"/>
      </w:rPr>
    </w:lvl>
    <w:lvl w:ilvl="6" w:tplc="2094433C">
      <w:start w:val="1"/>
      <w:numFmt w:val="bullet"/>
      <w:lvlText w:val=" "/>
      <w:lvlJc w:val="left"/>
      <w:pPr>
        <w:tabs>
          <w:tab w:val="num" w:pos="5040"/>
        </w:tabs>
        <w:ind w:left="5040" w:hanging="360"/>
      </w:pPr>
      <w:rPr>
        <w:rFonts w:ascii="Calibri" w:hAnsi="Calibri" w:cs="Times New Roman" w:hint="default"/>
      </w:rPr>
    </w:lvl>
    <w:lvl w:ilvl="7" w:tplc="B032024E">
      <w:start w:val="1"/>
      <w:numFmt w:val="bullet"/>
      <w:lvlText w:val=" "/>
      <w:lvlJc w:val="left"/>
      <w:pPr>
        <w:tabs>
          <w:tab w:val="num" w:pos="5760"/>
        </w:tabs>
        <w:ind w:left="5760" w:hanging="360"/>
      </w:pPr>
      <w:rPr>
        <w:rFonts w:ascii="Calibri" w:hAnsi="Calibri" w:cs="Times New Roman" w:hint="default"/>
      </w:rPr>
    </w:lvl>
    <w:lvl w:ilvl="8" w:tplc="B15EF37C">
      <w:start w:val="1"/>
      <w:numFmt w:val="bullet"/>
      <w:lvlText w:val=" "/>
      <w:lvlJc w:val="left"/>
      <w:pPr>
        <w:tabs>
          <w:tab w:val="num" w:pos="6480"/>
        </w:tabs>
        <w:ind w:left="6480" w:hanging="360"/>
      </w:pPr>
      <w:rPr>
        <w:rFonts w:ascii="Calibri" w:hAnsi="Calibri" w:cs="Times New Roman" w:hint="default"/>
      </w:rPr>
    </w:lvl>
  </w:abstractNum>
  <w:abstractNum w:abstractNumId="30" w15:restartNumberingAfterBreak="0">
    <w:nsid w:val="6A587E4D"/>
    <w:multiLevelType w:val="hybridMultilevel"/>
    <w:tmpl w:val="6C489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C90123C"/>
    <w:multiLevelType w:val="hybridMultilevel"/>
    <w:tmpl w:val="EE0E3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F218C"/>
    <w:multiLevelType w:val="hybridMultilevel"/>
    <w:tmpl w:val="488A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8227A7"/>
    <w:multiLevelType w:val="multilevel"/>
    <w:tmpl w:val="E09A0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4C288A"/>
    <w:multiLevelType w:val="hybridMultilevel"/>
    <w:tmpl w:val="B3A43EE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CC30FE7"/>
    <w:multiLevelType w:val="hybridMultilevel"/>
    <w:tmpl w:val="FDEC13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09774123">
    <w:abstractNumId w:val="20"/>
  </w:num>
  <w:num w:numId="2" w16cid:durableId="1476027528">
    <w:abstractNumId w:val="5"/>
  </w:num>
  <w:num w:numId="3" w16cid:durableId="1601646823">
    <w:abstractNumId w:val="4"/>
  </w:num>
  <w:num w:numId="4" w16cid:durableId="1124925962">
    <w:abstractNumId w:val="23"/>
  </w:num>
  <w:num w:numId="5" w16cid:durableId="982848524">
    <w:abstractNumId w:val="27"/>
  </w:num>
  <w:num w:numId="6" w16cid:durableId="362900477">
    <w:abstractNumId w:val="18"/>
  </w:num>
  <w:num w:numId="7" w16cid:durableId="1220942874">
    <w:abstractNumId w:val="3"/>
  </w:num>
  <w:num w:numId="8" w16cid:durableId="697395027">
    <w:abstractNumId w:val="19"/>
  </w:num>
  <w:num w:numId="9" w16cid:durableId="1086727821">
    <w:abstractNumId w:val="8"/>
  </w:num>
  <w:num w:numId="10" w16cid:durableId="1922252878">
    <w:abstractNumId w:val="13"/>
  </w:num>
  <w:num w:numId="11" w16cid:durableId="252132305">
    <w:abstractNumId w:val="9"/>
  </w:num>
  <w:num w:numId="12" w16cid:durableId="1562255898">
    <w:abstractNumId w:val="1"/>
  </w:num>
  <w:num w:numId="13" w16cid:durableId="307244692">
    <w:abstractNumId w:val="33"/>
  </w:num>
  <w:num w:numId="14" w16cid:durableId="1409383630">
    <w:abstractNumId w:val="11"/>
  </w:num>
  <w:num w:numId="15" w16cid:durableId="1927767904">
    <w:abstractNumId w:val="22"/>
  </w:num>
  <w:num w:numId="16" w16cid:durableId="10378263">
    <w:abstractNumId w:val="7"/>
  </w:num>
  <w:num w:numId="17" w16cid:durableId="1203320362">
    <w:abstractNumId w:val="16"/>
  </w:num>
  <w:num w:numId="18" w16cid:durableId="1145077078">
    <w:abstractNumId w:val="25"/>
  </w:num>
  <w:num w:numId="19" w16cid:durableId="1154831832">
    <w:abstractNumId w:val="0"/>
  </w:num>
  <w:num w:numId="20" w16cid:durableId="1108425000">
    <w:abstractNumId w:val="34"/>
  </w:num>
  <w:num w:numId="21" w16cid:durableId="614825511">
    <w:abstractNumId w:val="29"/>
  </w:num>
  <w:num w:numId="22" w16cid:durableId="98311793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3031205">
    <w:abstractNumId w:val="21"/>
  </w:num>
  <w:num w:numId="24" w16cid:durableId="1685787899">
    <w:abstractNumId w:val="6"/>
  </w:num>
  <w:num w:numId="25" w16cid:durableId="974598883">
    <w:abstractNumId w:val="6"/>
  </w:num>
  <w:num w:numId="26" w16cid:durableId="1789739467">
    <w:abstractNumId w:val="0"/>
  </w:num>
  <w:num w:numId="27" w16cid:durableId="1153720522">
    <w:abstractNumId w:val="32"/>
  </w:num>
  <w:num w:numId="28" w16cid:durableId="1410732552">
    <w:abstractNumId w:val="14"/>
  </w:num>
  <w:num w:numId="29" w16cid:durableId="1743990734">
    <w:abstractNumId w:val="15"/>
  </w:num>
  <w:num w:numId="30" w16cid:durableId="651909315">
    <w:abstractNumId w:val="30"/>
  </w:num>
  <w:num w:numId="31" w16cid:durableId="1627275364">
    <w:abstractNumId w:val="31"/>
  </w:num>
  <w:num w:numId="32" w16cid:durableId="264072601">
    <w:abstractNumId w:val="26"/>
  </w:num>
  <w:num w:numId="33" w16cid:durableId="1898200042">
    <w:abstractNumId w:val="17"/>
  </w:num>
  <w:num w:numId="34" w16cid:durableId="1078942781">
    <w:abstractNumId w:val="24"/>
  </w:num>
  <w:num w:numId="35" w16cid:durableId="697243145">
    <w:abstractNumId w:val="12"/>
  </w:num>
  <w:num w:numId="36" w16cid:durableId="1113018235">
    <w:abstractNumId w:val="35"/>
  </w:num>
  <w:num w:numId="37" w16cid:durableId="799423345">
    <w:abstractNumId w:val="2"/>
  </w:num>
  <w:num w:numId="38" w16cid:durableId="72629660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8D"/>
    <w:rsid w:val="00010A46"/>
    <w:rsid w:val="00012235"/>
    <w:rsid w:val="000214AA"/>
    <w:rsid w:val="00034645"/>
    <w:rsid w:val="00056B5E"/>
    <w:rsid w:val="00064ABB"/>
    <w:rsid w:val="0009582B"/>
    <w:rsid w:val="000C5643"/>
    <w:rsid w:val="00103730"/>
    <w:rsid w:val="001602AC"/>
    <w:rsid w:val="0016315A"/>
    <w:rsid w:val="0018114D"/>
    <w:rsid w:val="001B212C"/>
    <w:rsid w:val="001C13BD"/>
    <w:rsid w:val="001F1BE1"/>
    <w:rsid w:val="00203D25"/>
    <w:rsid w:val="0021122A"/>
    <w:rsid w:val="00231D49"/>
    <w:rsid w:val="00233B92"/>
    <w:rsid w:val="0025664E"/>
    <w:rsid w:val="002B21CB"/>
    <w:rsid w:val="002B5B03"/>
    <w:rsid w:val="002D6096"/>
    <w:rsid w:val="0030080A"/>
    <w:rsid w:val="00331D79"/>
    <w:rsid w:val="00351737"/>
    <w:rsid w:val="00365CE6"/>
    <w:rsid w:val="00375420"/>
    <w:rsid w:val="00381AE1"/>
    <w:rsid w:val="003A7454"/>
    <w:rsid w:val="00407E87"/>
    <w:rsid w:val="00413846"/>
    <w:rsid w:val="00424BAF"/>
    <w:rsid w:val="00431F9D"/>
    <w:rsid w:val="00433CAB"/>
    <w:rsid w:val="00443FE2"/>
    <w:rsid w:val="00445BD6"/>
    <w:rsid w:val="00477D4E"/>
    <w:rsid w:val="004804C7"/>
    <w:rsid w:val="004C59D6"/>
    <w:rsid w:val="004E28A0"/>
    <w:rsid w:val="004F5FDA"/>
    <w:rsid w:val="00510118"/>
    <w:rsid w:val="00514756"/>
    <w:rsid w:val="00523574"/>
    <w:rsid w:val="00585D41"/>
    <w:rsid w:val="00586354"/>
    <w:rsid w:val="005A22EC"/>
    <w:rsid w:val="005B1FC1"/>
    <w:rsid w:val="005D674F"/>
    <w:rsid w:val="005F1161"/>
    <w:rsid w:val="005F34D9"/>
    <w:rsid w:val="00600E6C"/>
    <w:rsid w:val="0062352C"/>
    <w:rsid w:val="00640CAB"/>
    <w:rsid w:val="006566CA"/>
    <w:rsid w:val="00665EE4"/>
    <w:rsid w:val="006731CC"/>
    <w:rsid w:val="00677F7C"/>
    <w:rsid w:val="006A40BE"/>
    <w:rsid w:val="006A55E5"/>
    <w:rsid w:val="006B2DDD"/>
    <w:rsid w:val="006B5CB2"/>
    <w:rsid w:val="006C35E8"/>
    <w:rsid w:val="006C490E"/>
    <w:rsid w:val="00713B4E"/>
    <w:rsid w:val="0072531D"/>
    <w:rsid w:val="00750668"/>
    <w:rsid w:val="00757A04"/>
    <w:rsid w:val="007672F4"/>
    <w:rsid w:val="007740CA"/>
    <w:rsid w:val="00783730"/>
    <w:rsid w:val="007B512B"/>
    <w:rsid w:val="007C4C2D"/>
    <w:rsid w:val="007F1C27"/>
    <w:rsid w:val="00802E2F"/>
    <w:rsid w:val="0082433F"/>
    <w:rsid w:val="00833E8D"/>
    <w:rsid w:val="00834052"/>
    <w:rsid w:val="00854A39"/>
    <w:rsid w:val="00861982"/>
    <w:rsid w:val="008647B6"/>
    <w:rsid w:val="00864E8C"/>
    <w:rsid w:val="00874B04"/>
    <w:rsid w:val="00881FD0"/>
    <w:rsid w:val="00885E4F"/>
    <w:rsid w:val="008A4CFB"/>
    <w:rsid w:val="008D332F"/>
    <w:rsid w:val="008E22C0"/>
    <w:rsid w:val="008F20E5"/>
    <w:rsid w:val="0090618C"/>
    <w:rsid w:val="00935B8E"/>
    <w:rsid w:val="0094402F"/>
    <w:rsid w:val="00954343"/>
    <w:rsid w:val="00984704"/>
    <w:rsid w:val="00995788"/>
    <w:rsid w:val="0099775B"/>
    <w:rsid w:val="009B068B"/>
    <w:rsid w:val="009B4D8F"/>
    <w:rsid w:val="009C09FE"/>
    <w:rsid w:val="009C51DC"/>
    <w:rsid w:val="009C7838"/>
    <w:rsid w:val="009F7B5C"/>
    <w:rsid w:val="00A005A0"/>
    <w:rsid w:val="00A01381"/>
    <w:rsid w:val="00A02AA0"/>
    <w:rsid w:val="00A202D8"/>
    <w:rsid w:val="00A26283"/>
    <w:rsid w:val="00A30D6D"/>
    <w:rsid w:val="00A4113C"/>
    <w:rsid w:val="00A459CB"/>
    <w:rsid w:val="00A65012"/>
    <w:rsid w:val="00A817FC"/>
    <w:rsid w:val="00A929F5"/>
    <w:rsid w:val="00AA3DD6"/>
    <w:rsid w:val="00AB7C30"/>
    <w:rsid w:val="00AC4932"/>
    <w:rsid w:val="00AE0D6B"/>
    <w:rsid w:val="00AF6D41"/>
    <w:rsid w:val="00B04B7C"/>
    <w:rsid w:val="00B43629"/>
    <w:rsid w:val="00B77B9D"/>
    <w:rsid w:val="00C14BC7"/>
    <w:rsid w:val="00C57017"/>
    <w:rsid w:val="00C611F5"/>
    <w:rsid w:val="00C804AE"/>
    <w:rsid w:val="00C922D4"/>
    <w:rsid w:val="00C955E6"/>
    <w:rsid w:val="00CA21B7"/>
    <w:rsid w:val="00CD2B89"/>
    <w:rsid w:val="00CD6B7B"/>
    <w:rsid w:val="00CD7289"/>
    <w:rsid w:val="00CE1F5E"/>
    <w:rsid w:val="00CF0DD2"/>
    <w:rsid w:val="00CF42A6"/>
    <w:rsid w:val="00D06DD3"/>
    <w:rsid w:val="00D10A19"/>
    <w:rsid w:val="00D10ACE"/>
    <w:rsid w:val="00D26594"/>
    <w:rsid w:val="00D32DEA"/>
    <w:rsid w:val="00D376E7"/>
    <w:rsid w:val="00D565B5"/>
    <w:rsid w:val="00D57DD9"/>
    <w:rsid w:val="00DA02B9"/>
    <w:rsid w:val="00DA258D"/>
    <w:rsid w:val="00DB12EA"/>
    <w:rsid w:val="00DF5000"/>
    <w:rsid w:val="00E02BFC"/>
    <w:rsid w:val="00E0357A"/>
    <w:rsid w:val="00E07D43"/>
    <w:rsid w:val="00E2186A"/>
    <w:rsid w:val="00E24DB5"/>
    <w:rsid w:val="00E333D2"/>
    <w:rsid w:val="00E41B2B"/>
    <w:rsid w:val="00E42C3C"/>
    <w:rsid w:val="00E44A7F"/>
    <w:rsid w:val="00E47ACE"/>
    <w:rsid w:val="00E71A91"/>
    <w:rsid w:val="00E956AB"/>
    <w:rsid w:val="00EA7957"/>
    <w:rsid w:val="00EB5A6A"/>
    <w:rsid w:val="00EC32E9"/>
    <w:rsid w:val="00EC5E2F"/>
    <w:rsid w:val="00ED0840"/>
    <w:rsid w:val="00EF060E"/>
    <w:rsid w:val="00EF3D9E"/>
    <w:rsid w:val="00F10D2C"/>
    <w:rsid w:val="00F2006D"/>
    <w:rsid w:val="00F26EF4"/>
    <w:rsid w:val="00F33A61"/>
    <w:rsid w:val="00F46B2C"/>
    <w:rsid w:val="00F47AF1"/>
    <w:rsid w:val="00F55A8D"/>
    <w:rsid w:val="00F71F8A"/>
    <w:rsid w:val="00F93640"/>
    <w:rsid w:val="00FB65AD"/>
    <w:rsid w:val="00FD2845"/>
    <w:rsid w:val="00FD2E64"/>
    <w:rsid w:val="00FD4AAE"/>
    <w:rsid w:val="00FE120B"/>
    <w:rsid w:val="00FE1572"/>
    <w:rsid w:val="00FE5822"/>
    <w:rsid w:val="00FE671A"/>
    <w:rsid w:val="00FE751B"/>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B8E23"/>
  <w15:chartTrackingRefBased/>
  <w15:docId w15:val="{F8A56138-E96B-4239-A6E2-E2C2BEB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96"/>
  </w:style>
  <w:style w:type="paragraph" w:styleId="Heading1">
    <w:name w:val="heading 1"/>
    <w:basedOn w:val="Normal"/>
    <w:next w:val="Normal"/>
    <w:link w:val="Heading1Char"/>
    <w:uiPriority w:val="9"/>
    <w:qFormat/>
    <w:rsid w:val="00F2006D"/>
    <w:pPr>
      <w:keepNext/>
      <w:keepLines/>
      <w:spacing w:before="240" w:after="12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semiHidden/>
    <w:unhideWhenUsed/>
    <w:qFormat/>
    <w:rsid w:val="00833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6D"/>
    <w:rPr>
      <w:rFonts w:ascii="Arial" w:eastAsiaTheme="majorEastAsia" w:hAnsi="Arial" w:cs="Arial"/>
      <w:b/>
      <w:bCs/>
      <w:sz w:val="24"/>
      <w:szCs w:val="24"/>
    </w:rPr>
  </w:style>
  <w:style w:type="character" w:customStyle="1" w:styleId="Heading2Char">
    <w:name w:val="Heading 2 Char"/>
    <w:basedOn w:val="DefaultParagraphFont"/>
    <w:link w:val="Heading2"/>
    <w:uiPriority w:val="9"/>
    <w:semiHidden/>
    <w:rsid w:val="00833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E8D"/>
    <w:rPr>
      <w:rFonts w:eastAsiaTheme="majorEastAsia" w:cstheme="majorBidi"/>
      <w:color w:val="272727" w:themeColor="text1" w:themeTint="D8"/>
    </w:rPr>
  </w:style>
  <w:style w:type="paragraph" w:styleId="Title">
    <w:name w:val="Title"/>
    <w:basedOn w:val="Normal"/>
    <w:next w:val="Normal"/>
    <w:link w:val="TitleChar"/>
    <w:uiPriority w:val="10"/>
    <w:qFormat/>
    <w:rsid w:val="00833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E8D"/>
    <w:pPr>
      <w:spacing w:before="160"/>
      <w:jc w:val="center"/>
    </w:pPr>
    <w:rPr>
      <w:i/>
      <w:iCs/>
      <w:color w:val="404040" w:themeColor="text1" w:themeTint="BF"/>
    </w:rPr>
  </w:style>
  <w:style w:type="character" w:customStyle="1" w:styleId="QuoteChar">
    <w:name w:val="Quote Char"/>
    <w:basedOn w:val="DefaultParagraphFont"/>
    <w:link w:val="Quote"/>
    <w:uiPriority w:val="29"/>
    <w:rsid w:val="00833E8D"/>
    <w:rPr>
      <w:i/>
      <w:iCs/>
      <w:color w:val="404040" w:themeColor="text1" w:themeTint="BF"/>
    </w:rPr>
  </w:style>
  <w:style w:type="paragraph" w:styleId="ListParagraph">
    <w:name w:val="List Paragraph"/>
    <w:basedOn w:val="Normal"/>
    <w:uiPriority w:val="34"/>
    <w:qFormat/>
    <w:rsid w:val="00833E8D"/>
    <w:pPr>
      <w:ind w:left="720"/>
      <w:contextualSpacing/>
    </w:pPr>
  </w:style>
  <w:style w:type="character" w:styleId="IntenseEmphasis">
    <w:name w:val="Intense Emphasis"/>
    <w:basedOn w:val="DefaultParagraphFont"/>
    <w:uiPriority w:val="21"/>
    <w:qFormat/>
    <w:rsid w:val="00833E8D"/>
    <w:rPr>
      <w:i/>
      <w:iCs/>
      <w:color w:val="0F4761" w:themeColor="accent1" w:themeShade="BF"/>
    </w:rPr>
  </w:style>
  <w:style w:type="paragraph" w:styleId="IntenseQuote">
    <w:name w:val="Intense Quote"/>
    <w:basedOn w:val="Normal"/>
    <w:next w:val="Normal"/>
    <w:link w:val="IntenseQuoteChar"/>
    <w:uiPriority w:val="30"/>
    <w:qFormat/>
    <w:rsid w:val="00833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E8D"/>
    <w:rPr>
      <w:i/>
      <w:iCs/>
      <w:color w:val="0F4761" w:themeColor="accent1" w:themeShade="BF"/>
    </w:rPr>
  </w:style>
  <w:style w:type="character" w:styleId="IntenseReference">
    <w:name w:val="Intense Reference"/>
    <w:basedOn w:val="DefaultParagraphFont"/>
    <w:uiPriority w:val="32"/>
    <w:qFormat/>
    <w:rsid w:val="00833E8D"/>
    <w:rPr>
      <w:b/>
      <w:bCs/>
      <w:smallCaps/>
      <w:color w:val="0F4761" w:themeColor="accent1" w:themeShade="BF"/>
      <w:spacing w:val="5"/>
    </w:rPr>
  </w:style>
  <w:style w:type="paragraph" w:styleId="NoSpacing">
    <w:name w:val="No Spacing"/>
    <w:uiPriority w:val="1"/>
    <w:qFormat/>
    <w:rsid w:val="00203D25"/>
    <w:pPr>
      <w:spacing w:after="0" w:line="240" w:lineRule="auto"/>
    </w:pPr>
    <w:rPr>
      <w:kern w:val="0"/>
      <w14:ligatures w14:val="none"/>
    </w:rPr>
  </w:style>
  <w:style w:type="paragraph" w:styleId="Header">
    <w:name w:val="header"/>
    <w:basedOn w:val="Normal"/>
    <w:link w:val="HeaderChar"/>
    <w:uiPriority w:val="99"/>
    <w:unhideWhenUsed/>
    <w:rsid w:val="0020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25"/>
  </w:style>
  <w:style w:type="paragraph" w:styleId="Footer">
    <w:name w:val="footer"/>
    <w:basedOn w:val="Normal"/>
    <w:link w:val="FooterChar"/>
    <w:uiPriority w:val="99"/>
    <w:unhideWhenUsed/>
    <w:rsid w:val="0020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25"/>
  </w:style>
  <w:style w:type="character" w:styleId="Hyperlink">
    <w:name w:val="Hyperlink"/>
    <w:basedOn w:val="DefaultParagraphFont"/>
    <w:uiPriority w:val="99"/>
    <w:unhideWhenUsed/>
    <w:rsid w:val="00A459CB"/>
    <w:rPr>
      <w:color w:val="467886" w:themeColor="hyperlink"/>
      <w:u w:val="single"/>
    </w:rPr>
  </w:style>
  <w:style w:type="character" w:styleId="UnresolvedMention">
    <w:name w:val="Unresolved Mention"/>
    <w:basedOn w:val="DefaultParagraphFont"/>
    <w:uiPriority w:val="99"/>
    <w:semiHidden/>
    <w:unhideWhenUsed/>
    <w:rsid w:val="00A459CB"/>
    <w:rPr>
      <w:color w:val="605E5C"/>
      <w:shd w:val="clear" w:color="auto" w:fill="E1DFDD"/>
    </w:rPr>
  </w:style>
  <w:style w:type="character" w:styleId="CommentReference">
    <w:name w:val="annotation reference"/>
    <w:basedOn w:val="DefaultParagraphFont"/>
    <w:uiPriority w:val="99"/>
    <w:semiHidden/>
    <w:unhideWhenUsed/>
    <w:rsid w:val="00477D4E"/>
    <w:rPr>
      <w:sz w:val="16"/>
      <w:szCs w:val="16"/>
    </w:rPr>
  </w:style>
  <w:style w:type="paragraph" w:styleId="CommentText">
    <w:name w:val="annotation text"/>
    <w:basedOn w:val="Normal"/>
    <w:link w:val="CommentTextChar"/>
    <w:uiPriority w:val="99"/>
    <w:unhideWhenUsed/>
    <w:rsid w:val="00477D4E"/>
    <w:pPr>
      <w:spacing w:line="240" w:lineRule="auto"/>
    </w:pPr>
    <w:rPr>
      <w:sz w:val="20"/>
      <w:szCs w:val="20"/>
    </w:rPr>
  </w:style>
  <w:style w:type="character" w:customStyle="1" w:styleId="CommentTextChar">
    <w:name w:val="Comment Text Char"/>
    <w:basedOn w:val="DefaultParagraphFont"/>
    <w:link w:val="CommentText"/>
    <w:uiPriority w:val="99"/>
    <w:rsid w:val="00477D4E"/>
    <w:rPr>
      <w:sz w:val="20"/>
      <w:szCs w:val="20"/>
    </w:rPr>
  </w:style>
  <w:style w:type="paragraph" w:styleId="CommentSubject">
    <w:name w:val="annotation subject"/>
    <w:basedOn w:val="CommentText"/>
    <w:next w:val="CommentText"/>
    <w:link w:val="CommentSubjectChar"/>
    <w:uiPriority w:val="99"/>
    <w:semiHidden/>
    <w:unhideWhenUsed/>
    <w:rsid w:val="00477D4E"/>
    <w:rPr>
      <w:b/>
      <w:bCs/>
    </w:rPr>
  </w:style>
  <w:style w:type="character" w:customStyle="1" w:styleId="CommentSubjectChar">
    <w:name w:val="Comment Subject Char"/>
    <w:basedOn w:val="CommentTextChar"/>
    <w:link w:val="CommentSubject"/>
    <w:uiPriority w:val="99"/>
    <w:semiHidden/>
    <w:rsid w:val="00477D4E"/>
    <w:rPr>
      <w:b/>
      <w:bCs/>
      <w:sz w:val="20"/>
      <w:szCs w:val="20"/>
    </w:rPr>
  </w:style>
  <w:style w:type="character" w:styleId="FollowedHyperlink">
    <w:name w:val="FollowedHyperlink"/>
    <w:basedOn w:val="DefaultParagraphFont"/>
    <w:uiPriority w:val="99"/>
    <w:semiHidden/>
    <w:unhideWhenUsed/>
    <w:rsid w:val="006731CC"/>
    <w:rPr>
      <w:color w:val="96607D" w:themeColor="followedHyperlink"/>
      <w:u w:val="single"/>
    </w:rPr>
  </w:style>
  <w:style w:type="paragraph" w:styleId="Revision">
    <w:name w:val="Revision"/>
    <w:hidden/>
    <w:uiPriority w:val="99"/>
    <w:semiHidden/>
    <w:rsid w:val="008E22C0"/>
    <w:pPr>
      <w:spacing w:after="0" w:line="240" w:lineRule="auto"/>
    </w:pPr>
  </w:style>
  <w:style w:type="table" w:styleId="TableGrid">
    <w:name w:val="Table Grid"/>
    <w:basedOn w:val="TableNormal"/>
    <w:uiPriority w:val="39"/>
    <w:rsid w:val="00231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0860">
      <w:bodyDiv w:val="1"/>
      <w:marLeft w:val="0"/>
      <w:marRight w:val="0"/>
      <w:marTop w:val="0"/>
      <w:marBottom w:val="0"/>
      <w:divBdr>
        <w:top w:val="none" w:sz="0" w:space="0" w:color="auto"/>
        <w:left w:val="none" w:sz="0" w:space="0" w:color="auto"/>
        <w:bottom w:val="none" w:sz="0" w:space="0" w:color="auto"/>
        <w:right w:val="none" w:sz="0" w:space="0" w:color="auto"/>
      </w:divBdr>
    </w:div>
    <w:div w:id="114905567">
      <w:bodyDiv w:val="1"/>
      <w:marLeft w:val="0"/>
      <w:marRight w:val="0"/>
      <w:marTop w:val="0"/>
      <w:marBottom w:val="0"/>
      <w:divBdr>
        <w:top w:val="none" w:sz="0" w:space="0" w:color="auto"/>
        <w:left w:val="none" w:sz="0" w:space="0" w:color="auto"/>
        <w:bottom w:val="none" w:sz="0" w:space="0" w:color="auto"/>
        <w:right w:val="none" w:sz="0" w:space="0" w:color="auto"/>
      </w:divBdr>
    </w:div>
    <w:div w:id="115762676">
      <w:bodyDiv w:val="1"/>
      <w:marLeft w:val="0"/>
      <w:marRight w:val="0"/>
      <w:marTop w:val="0"/>
      <w:marBottom w:val="0"/>
      <w:divBdr>
        <w:top w:val="none" w:sz="0" w:space="0" w:color="auto"/>
        <w:left w:val="none" w:sz="0" w:space="0" w:color="auto"/>
        <w:bottom w:val="none" w:sz="0" w:space="0" w:color="auto"/>
        <w:right w:val="none" w:sz="0" w:space="0" w:color="auto"/>
      </w:divBdr>
    </w:div>
    <w:div w:id="126094694">
      <w:bodyDiv w:val="1"/>
      <w:marLeft w:val="0"/>
      <w:marRight w:val="0"/>
      <w:marTop w:val="0"/>
      <w:marBottom w:val="0"/>
      <w:divBdr>
        <w:top w:val="none" w:sz="0" w:space="0" w:color="auto"/>
        <w:left w:val="none" w:sz="0" w:space="0" w:color="auto"/>
        <w:bottom w:val="none" w:sz="0" w:space="0" w:color="auto"/>
        <w:right w:val="none" w:sz="0" w:space="0" w:color="auto"/>
      </w:divBdr>
    </w:div>
    <w:div w:id="131100953">
      <w:bodyDiv w:val="1"/>
      <w:marLeft w:val="0"/>
      <w:marRight w:val="0"/>
      <w:marTop w:val="0"/>
      <w:marBottom w:val="0"/>
      <w:divBdr>
        <w:top w:val="none" w:sz="0" w:space="0" w:color="auto"/>
        <w:left w:val="none" w:sz="0" w:space="0" w:color="auto"/>
        <w:bottom w:val="none" w:sz="0" w:space="0" w:color="auto"/>
        <w:right w:val="none" w:sz="0" w:space="0" w:color="auto"/>
      </w:divBdr>
    </w:div>
    <w:div w:id="221793461">
      <w:bodyDiv w:val="1"/>
      <w:marLeft w:val="0"/>
      <w:marRight w:val="0"/>
      <w:marTop w:val="0"/>
      <w:marBottom w:val="0"/>
      <w:divBdr>
        <w:top w:val="none" w:sz="0" w:space="0" w:color="auto"/>
        <w:left w:val="none" w:sz="0" w:space="0" w:color="auto"/>
        <w:bottom w:val="none" w:sz="0" w:space="0" w:color="auto"/>
        <w:right w:val="none" w:sz="0" w:space="0" w:color="auto"/>
      </w:divBdr>
    </w:div>
    <w:div w:id="504904200">
      <w:bodyDiv w:val="1"/>
      <w:marLeft w:val="0"/>
      <w:marRight w:val="0"/>
      <w:marTop w:val="0"/>
      <w:marBottom w:val="0"/>
      <w:divBdr>
        <w:top w:val="none" w:sz="0" w:space="0" w:color="auto"/>
        <w:left w:val="none" w:sz="0" w:space="0" w:color="auto"/>
        <w:bottom w:val="none" w:sz="0" w:space="0" w:color="auto"/>
        <w:right w:val="none" w:sz="0" w:space="0" w:color="auto"/>
      </w:divBdr>
    </w:div>
    <w:div w:id="608199254">
      <w:bodyDiv w:val="1"/>
      <w:marLeft w:val="0"/>
      <w:marRight w:val="0"/>
      <w:marTop w:val="0"/>
      <w:marBottom w:val="0"/>
      <w:divBdr>
        <w:top w:val="none" w:sz="0" w:space="0" w:color="auto"/>
        <w:left w:val="none" w:sz="0" w:space="0" w:color="auto"/>
        <w:bottom w:val="none" w:sz="0" w:space="0" w:color="auto"/>
        <w:right w:val="none" w:sz="0" w:space="0" w:color="auto"/>
      </w:divBdr>
    </w:div>
    <w:div w:id="628971889">
      <w:bodyDiv w:val="1"/>
      <w:marLeft w:val="0"/>
      <w:marRight w:val="0"/>
      <w:marTop w:val="0"/>
      <w:marBottom w:val="0"/>
      <w:divBdr>
        <w:top w:val="none" w:sz="0" w:space="0" w:color="auto"/>
        <w:left w:val="none" w:sz="0" w:space="0" w:color="auto"/>
        <w:bottom w:val="none" w:sz="0" w:space="0" w:color="auto"/>
        <w:right w:val="none" w:sz="0" w:space="0" w:color="auto"/>
      </w:divBdr>
    </w:div>
    <w:div w:id="720598326">
      <w:bodyDiv w:val="1"/>
      <w:marLeft w:val="0"/>
      <w:marRight w:val="0"/>
      <w:marTop w:val="0"/>
      <w:marBottom w:val="0"/>
      <w:divBdr>
        <w:top w:val="none" w:sz="0" w:space="0" w:color="auto"/>
        <w:left w:val="none" w:sz="0" w:space="0" w:color="auto"/>
        <w:bottom w:val="none" w:sz="0" w:space="0" w:color="auto"/>
        <w:right w:val="none" w:sz="0" w:space="0" w:color="auto"/>
      </w:divBdr>
    </w:div>
    <w:div w:id="814878504">
      <w:bodyDiv w:val="1"/>
      <w:marLeft w:val="0"/>
      <w:marRight w:val="0"/>
      <w:marTop w:val="0"/>
      <w:marBottom w:val="0"/>
      <w:divBdr>
        <w:top w:val="none" w:sz="0" w:space="0" w:color="auto"/>
        <w:left w:val="none" w:sz="0" w:space="0" w:color="auto"/>
        <w:bottom w:val="none" w:sz="0" w:space="0" w:color="auto"/>
        <w:right w:val="none" w:sz="0" w:space="0" w:color="auto"/>
      </w:divBdr>
    </w:div>
    <w:div w:id="873418535">
      <w:bodyDiv w:val="1"/>
      <w:marLeft w:val="0"/>
      <w:marRight w:val="0"/>
      <w:marTop w:val="0"/>
      <w:marBottom w:val="0"/>
      <w:divBdr>
        <w:top w:val="none" w:sz="0" w:space="0" w:color="auto"/>
        <w:left w:val="none" w:sz="0" w:space="0" w:color="auto"/>
        <w:bottom w:val="none" w:sz="0" w:space="0" w:color="auto"/>
        <w:right w:val="none" w:sz="0" w:space="0" w:color="auto"/>
      </w:divBdr>
    </w:div>
    <w:div w:id="1118648967">
      <w:bodyDiv w:val="1"/>
      <w:marLeft w:val="0"/>
      <w:marRight w:val="0"/>
      <w:marTop w:val="0"/>
      <w:marBottom w:val="0"/>
      <w:divBdr>
        <w:top w:val="none" w:sz="0" w:space="0" w:color="auto"/>
        <w:left w:val="none" w:sz="0" w:space="0" w:color="auto"/>
        <w:bottom w:val="none" w:sz="0" w:space="0" w:color="auto"/>
        <w:right w:val="none" w:sz="0" w:space="0" w:color="auto"/>
      </w:divBdr>
    </w:div>
    <w:div w:id="1166945451">
      <w:bodyDiv w:val="1"/>
      <w:marLeft w:val="0"/>
      <w:marRight w:val="0"/>
      <w:marTop w:val="0"/>
      <w:marBottom w:val="0"/>
      <w:divBdr>
        <w:top w:val="none" w:sz="0" w:space="0" w:color="auto"/>
        <w:left w:val="none" w:sz="0" w:space="0" w:color="auto"/>
        <w:bottom w:val="none" w:sz="0" w:space="0" w:color="auto"/>
        <w:right w:val="none" w:sz="0" w:space="0" w:color="auto"/>
      </w:divBdr>
    </w:div>
    <w:div w:id="1465733407">
      <w:bodyDiv w:val="1"/>
      <w:marLeft w:val="0"/>
      <w:marRight w:val="0"/>
      <w:marTop w:val="0"/>
      <w:marBottom w:val="0"/>
      <w:divBdr>
        <w:top w:val="none" w:sz="0" w:space="0" w:color="auto"/>
        <w:left w:val="none" w:sz="0" w:space="0" w:color="auto"/>
        <w:bottom w:val="none" w:sz="0" w:space="0" w:color="auto"/>
        <w:right w:val="none" w:sz="0" w:space="0" w:color="auto"/>
      </w:divBdr>
    </w:div>
    <w:div w:id="1776825615">
      <w:bodyDiv w:val="1"/>
      <w:marLeft w:val="0"/>
      <w:marRight w:val="0"/>
      <w:marTop w:val="0"/>
      <w:marBottom w:val="0"/>
      <w:divBdr>
        <w:top w:val="none" w:sz="0" w:space="0" w:color="auto"/>
        <w:left w:val="none" w:sz="0" w:space="0" w:color="auto"/>
        <w:bottom w:val="none" w:sz="0" w:space="0" w:color="auto"/>
        <w:right w:val="none" w:sz="0" w:space="0" w:color="auto"/>
      </w:divBdr>
    </w:div>
    <w:div w:id="1964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lpdirect.net/casb/crs/22-1-143.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licportal.eeoc.gov/porta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violencefreecolorado.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901E7-2266-4C7F-835F-A3527BC6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2542</Words>
  <Characters>14749</Characters>
  <Application>Microsoft Office Word</Application>
  <DocSecurity>0</DocSecurity>
  <Lines>263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Vigil, Raena</cp:lastModifiedBy>
  <cp:revision>9</cp:revision>
  <dcterms:created xsi:type="dcterms:W3CDTF">2024-07-24T17:31:00Z</dcterms:created>
  <dcterms:modified xsi:type="dcterms:W3CDTF">2024-08-02T21:19:00Z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47ae78b211bc9d562cbe3d0e20c5d162af1647da1705799104382cad178bff0b</vt:lpwstr>
  </property>
</Properties>
</file>