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E99E" w14:textId="34599EE8" w:rsidR="00A14694" w:rsidRPr="00F35F73" w:rsidRDefault="3ACD9CEA" w:rsidP="00F35F73">
      <w:pPr>
        <w:pStyle w:val="Title"/>
        <w:jc w:val="center"/>
        <w:rPr>
          <w:rFonts w:eastAsia="Arial"/>
          <w:sz w:val="36"/>
          <w:szCs w:val="36"/>
        </w:rPr>
      </w:pPr>
      <w:r w:rsidRPr="00F35F73">
        <w:rPr>
          <w:rFonts w:eastAsia="Arial"/>
          <w:sz w:val="36"/>
          <w:szCs w:val="36"/>
        </w:rPr>
        <w:t>Transgender and Gender Queer Students</w:t>
      </w:r>
    </w:p>
    <w:p w14:paraId="06B81571" w14:textId="77777777" w:rsidR="00F35F73" w:rsidRDefault="00F35F73" w:rsidP="3ACD9CEA">
      <w:pPr>
        <w:rPr>
          <w:rFonts w:ascii="Arial" w:eastAsia="Arial" w:hAnsi="Arial" w:cs="Arial"/>
          <w:b/>
          <w:bCs/>
        </w:rPr>
      </w:pPr>
    </w:p>
    <w:p w14:paraId="19586F23" w14:textId="1A3F3A9B" w:rsidR="00A14694" w:rsidRDefault="3ACD9CEA" w:rsidP="3ACD9CEA">
      <w:pPr>
        <w:rPr>
          <w:rFonts w:ascii="Arial" w:eastAsia="Arial" w:hAnsi="Arial" w:cs="Arial"/>
        </w:rPr>
      </w:pPr>
      <w:r w:rsidRPr="3ACD9CEA">
        <w:rPr>
          <w:rFonts w:ascii="Arial" w:eastAsia="Arial" w:hAnsi="Arial" w:cs="Arial"/>
          <w:b/>
          <w:bCs/>
        </w:rPr>
        <w:t xml:space="preserve">Any questions you have about </w:t>
      </w:r>
      <w:r w:rsidR="001C39DA">
        <w:rPr>
          <w:rFonts w:ascii="Arial" w:eastAsia="Arial" w:hAnsi="Arial" w:cs="Arial"/>
          <w:b/>
          <w:bCs/>
        </w:rPr>
        <w:t xml:space="preserve">handling transgender and/or genderqueer issues </w:t>
      </w:r>
      <w:r w:rsidRPr="3ACD9CEA">
        <w:rPr>
          <w:rFonts w:ascii="Arial" w:eastAsia="Arial" w:hAnsi="Arial" w:cs="Arial"/>
          <w:b/>
          <w:bCs/>
        </w:rPr>
        <w:t xml:space="preserve">should be </w:t>
      </w:r>
      <w:r w:rsidR="001C39DA">
        <w:rPr>
          <w:rFonts w:ascii="Arial" w:eastAsia="Arial" w:hAnsi="Arial" w:cs="Arial"/>
          <w:b/>
          <w:bCs/>
        </w:rPr>
        <w:t xml:space="preserve">raised with </w:t>
      </w:r>
      <w:r w:rsidRPr="3ACD9CEA">
        <w:rPr>
          <w:rFonts w:ascii="Arial" w:eastAsia="Arial" w:hAnsi="Arial" w:cs="Arial"/>
          <w:b/>
          <w:bCs/>
        </w:rPr>
        <w:t>your legal counsel</w:t>
      </w:r>
      <w:r w:rsidRPr="3ACD9CEA">
        <w:rPr>
          <w:rFonts w:ascii="Arial" w:eastAsia="Arial" w:hAnsi="Arial" w:cs="Arial"/>
        </w:rPr>
        <w:t>.</w:t>
      </w:r>
      <w:r w:rsidR="00E57B17">
        <w:rPr>
          <w:rFonts w:ascii="Arial" w:eastAsia="Arial" w:hAnsi="Arial" w:cs="Arial"/>
        </w:rPr>
        <w:t xml:space="preserve"> </w:t>
      </w:r>
      <w:r w:rsidR="001C39DA">
        <w:rPr>
          <w:rFonts w:ascii="Arial" w:eastAsia="Arial" w:hAnsi="Arial" w:cs="Arial"/>
        </w:rPr>
        <w:t xml:space="preserve">This is a rapidly </w:t>
      </w:r>
      <w:r w:rsidR="00E57B17">
        <w:rPr>
          <w:rFonts w:ascii="Arial" w:eastAsia="Arial" w:hAnsi="Arial" w:cs="Arial"/>
        </w:rPr>
        <w:t>evolving</w:t>
      </w:r>
      <w:r w:rsidR="001C39DA">
        <w:rPr>
          <w:rFonts w:ascii="Arial" w:eastAsia="Arial" w:hAnsi="Arial" w:cs="Arial"/>
        </w:rPr>
        <w:t xml:space="preserve"> area of law and </w:t>
      </w:r>
      <w:r w:rsidR="00E57B17">
        <w:rPr>
          <w:rFonts w:ascii="Arial" w:eastAsia="Arial" w:hAnsi="Arial" w:cs="Arial"/>
        </w:rPr>
        <w:t xml:space="preserve">public </w:t>
      </w:r>
      <w:r w:rsidR="001C39DA">
        <w:rPr>
          <w:rFonts w:ascii="Arial" w:eastAsia="Arial" w:hAnsi="Arial" w:cs="Arial"/>
        </w:rPr>
        <w:t>policy.</w:t>
      </w:r>
    </w:p>
    <w:p w14:paraId="7156BDF4" w14:textId="65079D4A" w:rsidR="00E57B17" w:rsidRDefault="00E57B17" w:rsidP="00E57B17">
      <w:pPr>
        <w:rPr>
          <w:rFonts w:ascii="Arial" w:eastAsia="Arial" w:hAnsi="Arial" w:cs="Arial"/>
        </w:rPr>
      </w:pPr>
      <w:r>
        <w:rPr>
          <w:rFonts w:ascii="Arial" w:eastAsia="Arial" w:hAnsi="Arial" w:cs="Arial"/>
        </w:rPr>
        <w:t>The f</w:t>
      </w:r>
      <w:r w:rsidRPr="50290C9C">
        <w:rPr>
          <w:rFonts w:ascii="Arial" w:eastAsia="Arial" w:hAnsi="Arial" w:cs="Arial"/>
        </w:rPr>
        <w:t xml:space="preserve">ederal law </w:t>
      </w:r>
      <w:r>
        <w:rPr>
          <w:rFonts w:ascii="Arial" w:eastAsia="Arial" w:hAnsi="Arial" w:cs="Arial"/>
        </w:rPr>
        <w:t xml:space="preserve">known as </w:t>
      </w:r>
      <w:hyperlink r:id="rId5">
        <w:r w:rsidR="3ACD9CEA" w:rsidRPr="50290C9C">
          <w:rPr>
            <w:rStyle w:val="Hyperlink"/>
            <w:rFonts w:ascii="Arial" w:eastAsia="Arial" w:hAnsi="Arial" w:cs="Arial"/>
          </w:rPr>
          <w:t>Title IX</w:t>
        </w:r>
      </w:hyperlink>
      <w:r w:rsidR="3ACD9CEA" w:rsidRPr="50290C9C">
        <w:rPr>
          <w:rFonts w:ascii="Arial" w:eastAsia="Arial" w:hAnsi="Arial" w:cs="Arial"/>
        </w:rPr>
        <w:t xml:space="preserve"> prohibits discrimination </w:t>
      </w:r>
      <w:proofErr w:type="gramStart"/>
      <w:r w:rsidR="3ACD9CEA" w:rsidRPr="50290C9C">
        <w:rPr>
          <w:rFonts w:ascii="Arial" w:eastAsia="Arial" w:hAnsi="Arial" w:cs="Arial"/>
        </w:rPr>
        <w:t>on the basis of</w:t>
      </w:r>
      <w:proofErr w:type="gramEnd"/>
      <w:r w:rsidR="3ACD9CEA" w:rsidRPr="50290C9C">
        <w:rPr>
          <w:rFonts w:ascii="Arial" w:eastAsia="Arial" w:hAnsi="Arial" w:cs="Arial"/>
        </w:rPr>
        <w:t xml:space="preserve"> sex.</w:t>
      </w:r>
      <w:r>
        <w:rPr>
          <w:rFonts w:ascii="Arial" w:eastAsia="Arial" w:hAnsi="Arial" w:cs="Arial"/>
        </w:rPr>
        <w:t xml:space="preserve"> </w:t>
      </w:r>
      <w:r w:rsidR="001C39DA">
        <w:rPr>
          <w:rFonts w:ascii="Arial" w:eastAsia="Arial" w:hAnsi="Arial" w:cs="Arial"/>
        </w:rPr>
        <w:t xml:space="preserve">The U.S. Department of Justice takes the position that </w:t>
      </w:r>
      <w:r>
        <w:rPr>
          <w:rFonts w:ascii="Arial" w:eastAsia="Arial" w:hAnsi="Arial" w:cs="Arial"/>
        </w:rPr>
        <w:t>its plain text includ</w:t>
      </w:r>
      <w:r w:rsidR="00D304E3">
        <w:rPr>
          <w:rFonts w:ascii="Arial" w:eastAsia="Arial" w:hAnsi="Arial" w:cs="Arial"/>
        </w:rPr>
        <w:t>es</w:t>
      </w:r>
      <w:r>
        <w:rPr>
          <w:rFonts w:ascii="Arial" w:eastAsia="Arial" w:hAnsi="Arial" w:cs="Arial"/>
        </w:rPr>
        <w:t xml:space="preserve"> prohibiting </w:t>
      </w:r>
      <w:r w:rsidR="001C39DA">
        <w:rPr>
          <w:rFonts w:ascii="Arial" w:eastAsia="Arial" w:hAnsi="Arial" w:cs="Arial"/>
        </w:rPr>
        <w:t xml:space="preserve">discrimination </w:t>
      </w:r>
      <w:proofErr w:type="gramStart"/>
      <w:r w:rsidR="001C39DA">
        <w:rPr>
          <w:rFonts w:ascii="Arial" w:eastAsia="Arial" w:hAnsi="Arial" w:cs="Arial"/>
        </w:rPr>
        <w:t>on the basis of</w:t>
      </w:r>
      <w:proofErr w:type="gramEnd"/>
      <w:r w:rsidR="001C39DA">
        <w:rPr>
          <w:rFonts w:ascii="Arial" w:eastAsia="Arial" w:hAnsi="Arial" w:cs="Arial"/>
        </w:rPr>
        <w:t xml:space="preserve"> gender identity.</w:t>
      </w:r>
      <w:r>
        <w:rPr>
          <w:rFonts w:ascii="Arial" w:eastAsia="Arial" w:hAnsi="Arial" w:cs="Arial"/>
        </w:rPr>
        <w:t xml:space="preserve"> </w:t>
      </w:r>
      <w:r w:rsidR="001C39DA">
        <w:rPr>
          <w:rFonts w:ascii="Arial" w:eastAsia="Arial" w:hAnsi="Arial" w:cs="Arial"/>
        </w:rPr>
        <w:t>Colorado’s state-level nondiscrimination laws expressly include sexual orientation and gender—interpreted to include transgender status—as protected categories.</w:t>
      </w:r>
      <w:r>
        <w:rPr>
          <w:rFonts w:ascii="Arial" w:eastAsia="Arial" w:hAnsi="Arial" w:cs="Arial"/>
        </w:rPr>
        <w:t xml:space="preserve"> As a result, students have a right to be treated according to their gender identity, even where it diverges from biological sex/gender. Failing to honor that right can be unlawful discrimination.</w:t>
      </w:r>
    </w:p>
    <w:p w14:paraId="43ADD476" w14:textId="3DB07A26" w:rsidR="00E57B17" w:rsidRDefault="00E57B17" w:rsidP="50290C9C">
      <w:pPr>
        <w:rPr>
          <w:rFonts w:ascii="Arial" w:eastAsia="Arial" w:hAnsi="Arial" w:cs="Arial"/>
        </w:rPr>
      </w:pPr>
      <w:r w:rsidRPr="50290C9C">
        <w:rPr>
          <w:rFonts w:ascii="Arial" w:eastAsia="Arial" w:hAnsi="Arial" w:cs="Arial"/>
        </w:rPr>
        <w:t xml:space="preserve">CSI </w:t>
      </w:r>
      <w:r>
        <w:rPr>
          <w:rFonts w:ascii="Arial" w:eastAsia="Arial" w:hAnsi="Arial" w:cs="Arial"/>
        </w:rPr>
        <w:t>offers a</w:t>
      </w:r>
      <w:r w:rsidRPr="50290C9C">
        <w:rPr>
          <w:rFonts w:ascii="Arial" w:eastAsia="Arial" w:hAnsi="Arial" w:cs="Arial"/>
        </w:rPr>
        <w:t xml:space="preserve"> </w:t>
      </w:r>
      <w:hyperlink r:id="rId6">
        <w:r w:rsidRPr="50290C9C">
          <w:rPr>
            <w:rStyle w:val="Hyperlink"/>
            <w:rFonts w:ascii="Arial" w:eastAsia="Arial" w:hAnsi="Arial" w:cs="Arial"/>
          </w:rPr>
          <w:t>resource page</w:t>
        </w:r>
      </w:hyperlink>
      <w:r w:rsidRPr="50290C9C">
        <w:rPr>
          <w:rFonts w:ascii="Arial" w:eastAsia="Arial" w:hAnsi="Arial" w:cs="Arial"/>
        </w:rPr>
        <w:t xml:space="preserve"> on Title IX discrimination.</w:t>
      </w:r>
    </w:p>
    <w:p w14:paraId="2B4EE1E7" w14:textId="64052043" w:rsidR="00A14694" w:rsidRDefault="3ACD9CEA" w:rsidP="00E57B17">
      <w:pPr>
        <w:pStyle w:val="ListParagraph"/>
        <w:numPr>
          <w:ilvl w:val="0"/>
          <w:numId w:val="2"/>
        </w:numPr>
        <w:spacing w:before="240"/>
        <w:rPr>
          <w:rFonts w:ascii="Arial" w:eastAsia="Arial" w:hAnsi="Arial" w:cs="Arial"/>
          <w:i/>
          <w:iCs/>
        </w:rPr>
      </w:pPr>
      <w:r w:rsidRPr="3ACD9CEA">
        <w:rPr>
          <w:rFonts w:ascii="Arial" w:eastAsia="Arial" w:hAnsi="Arial" w:cs="Arial"/>
          <w:i/>
          <w:iCs/>
        </w:rPr>
        <w:t>How should we respond to name and pronoun change requests from students?</w:t>
      </w:r>
    </w:p>
    <w:p w14:paraId="4073181B" w14:textId="77777777" w:rsidR="00D304E3" w:rsidRDefault="00D42A42" w:rsidP="00D304E3">
      <w:pPr>
        <w:rPr>
          <w:rFonts w:ascii="Arial" w:eastAsia="Arial" w:hAnsi="Arial" w:cs="Arial"/>
        </w:rPr>
      </w:pPr>
      <w:r>
        <w:rPr>
          <w:rFonts w:ascii="Arial" w:eastAsia="Arial" w:hAnsi="Arial" w:cs="Arial"/>
        </w:rPr>
        <w:t>N</w:t>
      </w:r>
      <w:r w:rsidR="3ACD9CEA" w:rsidRPr="3ACD9CEA">
        <w:rPr>
          <w:rFonts w:ascii="Arial" w:eastAsia="Arial" w:hAnsi="Arial" w:cs="Arial"/>
        </w:rPr>
        <w:t>ot respecting student</w:t>
      </w:r>
      <w:r>
        <w:rPr>
          <w:rFonts w:ascii="Arial" w:eastAsia="Arial" w:hAnsi="Arial" w:cs="Arial"/>
        </w:rPr>
        <w:t>s’ preferred</w:t>
      </w:r>
      <w:r w:rsidR="3ACD9CEA" w:rsidRPr="3ACD9CEA">
        <w:rPr>
          <w:rFonts w:ascii="Arial" w:eastAsia="Arial" w:hAnsi="Arial" w:cs="Arial"/>
        </w:rPr>
        <w:t xml:space="preserve"> names or pronouns </w:t>
      </w:r>
      <w:r>
        <w:rPr>
          <w:rFonts w:ascii="Arial" w:eastAsia="Arial" w:hAnsi="Arial" w:cs="Arial"/>
        </w:rPr>
        <w:t>can constitute unlawful discrimination</w:t>
      </w:r>
      <w:r w:rsidR="00D304E3">
        <w:rPr>
          <w:rFonts w:ascii="Arial" w:eastAsia="Arial" w:hAnsi="Arial" w:cs="Arial"/>
        </w:rPr>
        <w:t>.</w:t>
      </w:r>
    </w:p>
    <w:p w14:paraId="0ED4E450" w14:textId="2F85E00F" w:rsidR="00D304E3" w:rsidRPr="00D304E3" w:rsidRDefault="00D304E3" w:rsidP="00D304E3">
      <w:pPr>
        <w:rPr>
          <w:rFonts w:ascii="Arial" w:eastAsia="Arial" w:hAnsi="Arial" w:cs="Arial"/>
        </w:rPr>
      </w:pPr>
      <w:r w:rsidRPr="00D304E3">
        <w:rPr>
          <w:rFonts w:ascii="Arial" w:eastAsia="Arial" w:hAnsi="Arial" w:cs="Arial"/>
        </w:rPr>
        <w:t>Schools should develop a process for responding to student requests and, when applicable, should establish a plan with the student (and parent if involved in the process) for addressing the student’s desires. For general communication, schools are encouraged to use the name and gender preferred by the student. For Record Integration Tracking System (RITS) data reporting, CDE “recommends that LEAs honor the wishes of the student’s own self-identification in terms of gender of record.” Additionally, while the “RITS system relies heavily on legal documentation for recording official student names […] student information systems can be designed to have places for legally-given and preferred names.”</w:t>
      </w:r>
      <w:r w:rsidR="00F35F73">
        <w:rPr>
          <w:rFonts w:ascii="Arial" w:eastAsia="Arial" w:hAnsi="Arial" w:cs="Arial"/>
        </w:rPr>
        <w:t xml:space="preserve"> View</w:t>
      </w:r>
      <w:r w:rsidRPr="00D304E3">
        <w:rPr>
          <w:rFonts w:ascii="Arial" w:eastAsia="Arial" w:hAnsi="Arial" w:cs="Arial"/>
        </w:rPr>
        <w:t> </w:t>
      </w:r>
      <w:hyperlink r:id="rId7" w:history="1">
        <w:r w:rsidR="00F35F73">
          <w:rPr>
            <w:rStyle w:val="Hyperlink"/>
            <w:rFonts w:ascii="Arial" w:eastAsia="Arial" w:hAnsi="Arial" w:cs="Arial"/>
          </w:rPr>
          <w:t>additional considerations regarding data reporting</w:t>
        </w:r>
      </w:hyperlink>
      <w:r w:rsidR="00F35F73">
        <w:rPr>
          <w:rFonts w:ascii="Arial" w:eastAsia="Arial" w:hAnsi="Arial" w:cs="Arial"/>
        </w:rPr>
        <w:t>.</w:t>
      </w:r>
    </w:p>
    <w:p w14:paraId="54B55134" w14:textId="18477BA0" w:rsidR="00042842" w:rsidRDefault="3ACD9CEA" w:rsidP="6E3537B9">
      <w:pPr>
        <w:rPr>
          <w:rFonts w:ascii="Arial" w:eastAsia="Arial" w:hAnsi="Arial" w:cs="Arial"/>
        </w:rPr>
      </w:pPr>
      <w:r w:rsidRPr="6E3537B9">
        <w:rPr>
          <w:rFonts w:ascii="Arial" w:eastAsia="Arial" w:hAnsi="Arial" w:cs="Arial"/>
        </w:rPr>
        <w:t>It would be important to discuss with the student the procedures of changing their name</w:t>
      </w:r>
      <w:r w:rsidR="00042842">
        <w:rPr>
          <w:rFonts w:ascii="Arial" w:eastAsia="Arial" w:hAnsi="Arial" w:cs="Arial"/>
        </w:rPr>
        <w:t>/</w:t>
      </w:r>
      <w:r w:rsidRPr="6E3537B9">
        <w:rPr>
          <w:rFonts w:ascii="Arial" w:eastAsia="Arial" w:hAnsi="Arial" w:cs="Arial"/>
        </w:rPr>
        <w:t>pronouns</w:t>
      </w:r>
      <w:r w:rsidR="00042842">
        <w:rPr>
          <w:rFonts w:ascii="Arial" w:eastAsia="Arial" w:hAnsi="Arial" w:cs="Arial"/>
        </w:rPr>
        <w:t xml:space="preserve"> and</w:t>
      </w:r>
      <w:r w:rsidRPr="6E3537B9">
        <w:rPr>
          <w:rFonts w:ascii="Arial" w:eastAsia="Arial" w:hAnsi="Arial" w:cs="Arial"/>
        </w:rPr>
        <w:t xml:space="preserve"> who can see these changes, and </w:t>
      </w:r>
      <w:r w:rsidR="00042842">
        <w:rPr>
          <w:rFonts w:ascii="Arial" w:eastAsia="Arial" w:hAnsi="Arial" w:cs="Arial"/>
        </w:rPr>
        <w:t xml:space="preserve">to </w:t>
      </w:r>
      <w:r w:rsidRPr="6E3537B9">
        <w:rPr>
          <w:rFonts w:ascii="Arial" w:eastAsia="Arial" w:hAnsi="Arial" w:cs="Arial"/>
        </w:rPr>
        <w:t xml:space="preserve">help problem-solve any hiccups in technology or other </w:t>
      </w:r>
      <w:proofErr w:type="gramStart"/>
      <w:r w:rsidRPr="6E3537B9">
        <w:rPr>
          <w:rFonts w:ascii="Arial" w:eastAsia="Arial" w:hAnsi="Arial" w:cs="Arial"/>
        </w:rPr>
        <w:t>legislation</w:t>
      </w:r>
      <w:proofErr w:type="gramEnd"/>
      <w:r w:rsidRPr="6E3537B9">
        <w:rPr>
          <w:rFonts w:ascii="Arial" w:eastAsia="Arial" w:hAnsi="Arial" w:cs="Arial"/>
        </w:rPr>
        <w:t xml:space="preserve"> issues such as state testing.</w:t>
      </w:r>
      <w:r w:rsidR="00E57B17">
        <w:rPr>
          <w:rFonts w:ascii="Arial" w:eastAsia="Arial" w:hAnsi="Arial" w:cs="Arial"/>
        </w:rPr>
        <w:t xml:space="preserve"> </w:t>
      </w:r>
      <w:r w:rsidR="6E3537B9" w:rsidRPr="00042842">
        <w:rPr>
          <w:rFonts w:ascii="Arial" w:eastAsia="Arial" w:hAnsi="Arial" w:cs="Arial"/>
        </w:rPr>
        <w:t>For example, a discussion using accessible language could sound something like this</w:t>
      </w:r>
      <w:r w:rsidR="00042842">
        <w:rPr>
          <w:rFonts w:ascii="Arial" w:eastAsia="Arial" w:hAnsi="Arial" w:cs="Arial"/>
        </w:rPr>
        <w:t>:</w:t>
      </w:r>
    </w:p>
    <w:p w14:paraId="28F929D1" w14:textId="40915EE8" w:rsidR="6E3537B9" w:rsidRDefault="6E3537B9" w:rsidP="00042842">
      <w:pPr>
        <w:ind w:left="360"/>
        <w:rPr>
          <w:rFonts w:ascii="Arial" w:eastAsia="Arial" w:hAnsi="Arial" w:cs="Arial"/>
        </w:rPr>
      </w:pPr>
      <w:r w:rsidRPr="00042842">
        <w:rPr>
          <w:rFonts w:ascii="Arial" w:eastAsia="Arial" w:hAnsi="Arial" w:cs="Arial"/>
        </w:rPr>
        <w:t>“</w:t>
      </w:r>
      <w:r w:rsidR="00042842">
        <w:rPr>
          <w:rFonts w:ascii="Arial" w:eastAsia="Arial" w:hAnsi="Arial" w:cs="Arial"/>
        </w:rPr>
        <w:t>O</w:t>
      </w:r>
      <w:r w:rsidRPr="00042842">
        <w:rPr>
          <w:rFonts w:ascii="Arial" w:eastAsia="Arial" w:hAnsi="Arial" w:cs="Arial"/>
        </w:rPr>
        <w:t xml:space="preserve">n our student messaging system and in our day-to-day communication, we will call you by the name you’ve chosen. There are </w:t>
      </w:r>
      <w:proofErr w:type="gramStart"/>
      <w:r w:rsidRPr="00042842">
        <w:rPr>
          <w:rFonts w:ascii="Arial" w:eastAsia="Arial" w:hAnsi="Arial" w:cs="Arial"/>
        </w:rPr>
        <w:t>some times</w:t>
      </w:r>
      <w:proofErr w:type="gramEnd"/>
      <w:r w:rsidRPr="00042842">
        <w:rPr>
          <w:rFonts w:ascii="Arial" w:eastAsia="Arial" w:hAnsi="Arial" w:cs="Arial"/>
        </w:rPr>
        <w:t xml:space="preserve"> when we won’t be able to make changes like during high stakes testing, like the SAT or ACT. The College Testing Board cares more about cheating on tests than it does about honoring your name change, just like the department of education cares more about fraud when it sees names that don’t match. We’ll do our best to make sure all staff have access to the right name, and sometimes people make mistakes, or sometimes we might have new staff, or substitutes that access the wrong data. We’ll do everything we can to make it </w:t>
      </w:r>
      <w:r w:rsidR="00F35F73" w:rsidRPr="00042842">
        <w:rPr>
          <w:rFonts w:ascii="Arial" w:eastAsia="Arial" w:hAnsi="Arial" w:cs="Arial"/>
        </w:rPr>
        <w:t>right and</w:t>
      </w:r>
      <w:r w:rsidRPr="00042842">
        <w:rPr>
          <w:rFonts w:ascii="Arial" w:eastAsia="Arial" w:hAnsi="Arial" w:cs="Arial"/>
        </w:rPr>
        <w:t xml:space="preserve"> help us know if something happens so we can fix it.”</w:t>
      </w:r>
    </w:p>
    <w:p w14:paraId="616B4665" w14:textId="5C0BDFC9" w:rsidR="00A14694" w:rsidRDefault="3ACD9CEA" w:rsidP="00E57B17">
      <w:pPr>
        <w:pStyle w:val="ListParagraph"/>
        <w:numPr>
          <w:ilvl w:val="0"/>
          <w:numId w:val="2"/>
        </w:numPr>
        <w:spacing w:before="240"/>
        <w:rPr>
          <w:rFonts w:ascii="Arial" w:eastAsia="Arial" w:hAnsi="Arial" w:cs="Arial"/>
          <w:i/>
          <w:iCs/>
        </w:rPr>
      </w:pPr>
      <w:r w:rsidRPr="3ACD9CEA">
        <w:rPr>
          <w:rFonts w:ascii="Arial" w:eastAsia="Arial" w:hAnsi="Arial" w:cs="Arial"/>
          <w:i/>
          <w:iCs/>
        </w:rPr>
        <w:t xml:space="preserve">What happens when the student uses one set of pronouns or </w:t>
      </w:r>
      <w:proofErr w:type="gramStart"/>
      <w:r w:rsidRPr="3ACD9CEA">
        <w:rPr>
          <w:rFonts w:ascii="Arial" w:eastAsia="Arial" w:hAnsi="Arial" w:cs="Arial"/>
          <w:i/>
          <w:iCs/>
        </w:rPr>
        <w:t>name</w:t>
      </w:r>
      <w:proofErr w:type="gramEnd"/>
      <w:r w:rsidRPr="3ACD9CEA">
        <w:rPr>
          <w:rFonts w:ascii="Arial" w:eastAsia="Arial" w:hAnsi="Arial" w:cs="Arial"/>
          <w:i/>
          <w:iCs/>
        </w:rPr>
        <w:t xml:space="preserve"> and the parents want to use another set of pronouns or name?</w:t>
      </w:r>
    </w:p>
    <w:p w14:paraId="7E547B6B" w14:textId="5A19B3F5" w:rsidR="00A14694" w:rsidRDefault="3ACD9CEA" w:rsidP="6E3537B9">
      <w:pPr>
        <w:rPr>
          <w:rFonts w:ascii="Arial" w:eastAsia="Arial" w:hAnsi="Arial" w:cs="Arial"/>
        </w:rPr>
      </w:pPr>
      <w:r w:rsidRPr="6E3537B9">
        <w:rPr>
          <w:rFonts w:ascii="Arial" w:eastAsia="Arial" w:hAnsi="Arial" w:cs="Arial"/>
        </w:rPr>
        <w:t>This is a complicated subject because students have the right to ask to use their name and pronouns and parents have the rights over school records.</w:t>
      </w:r>
      <w:r w:rsidR="00E57B17">
        <w:rPr>
          <w:rFonts w:ascii="Arial" w:eastAsia="Arial" w:hAnsi="Arial" w:cs="Arial"/>
        </w:rPr>
        <w:t xml:space="preserve"> </w:t>
      </w:r>
      <w:r w:rsidRPr="6E3537B9">
        <w:rPr>
          <w:rFonts w:ascii="Arial" w:eastAsia="Arial" w:hAnsi="Arial" w:cs="Arial"/>
        </w:rPr>
        <w:t xml:space="preserve">FERPA law states that parents </w:t>
      </w:r>
      <w:r w:rsidRPr="6E3537B9">
        <w:rPr>
          <w:rFonts w:ascii="Arial" w:eastAsia="Arial" w:hAnsi="Arial" w:cs="Arial"/>
        </w:rPr>
        <w:lastRenderedPageBreak/>
        <w:t>continue to have rights over student records.</w:t>
      </w:r>
      <w:r w:rsidR="00E57B17">
        <w:rPr>
          <w:rFonts w:ascii="Arial" w:eastAsia="Arial" w:hAnsi="Arial" w:cs="Arial"/>
        </w:rPr>
        <w:t xml:space="preserve"> </w:t>
      </w:r>
      <w:r w:rsidRPr="6E3537B9">
        <w:rPr>
          <w:rFonts w:ascii="Arial" w:eastAsia="Arial" w:hAnsi="Arial" w:cs="Arial"/>
        </w:rPr>
        <w:t>This is an important conversation to have with students who want to change their name and/or pronouns and do not want their parents to know.</w:t>
      </w:r>
    </w:p>
    <w:p w14:paraId="07B40576" w14:textId="73423C4C" w:rsidR="00C26E46" w:rsidRPr="00C26E46" w:rsidRDefault="6E3537B9" w:rsidP="6E3537B9">
      <w:pPr>
        <w:rPr>
          <w:rFonts w:ascii="Arial" w:eastAsia="Arial" w:hAnsi="Arial" w:cs="Arial"/>
        </w:rPr>
      </w:pPr>
      <w:r w:rsidRPr="00C26E46">
        <w:rPr>
          <w:rFonts w:ascii="Arial" w:eastAsia="Arial" w:hAnsi="Arial" w:cs="Arial"/>
        </w:rPr>
        <w:t>An example of what this discussion could like could be</w:t>
      </w:r>
      <w:r w:rsidR="00E57B17">
        <w:rPr>
          <w:rFonts w:ascii="Arial" w:eastAsia="Arial" w:hAnsi="Arial" w:cs="Arial"/>
        </w:rPr>
        <w:t>:</w:t>
      </w:r>
    </w:p>
    <w:p w14:paraId="3887B639" w14:textId="088A1E2B" w:rsidR="6E3537B9" w:rsidRDefault="6E3537B9" w:rsidP="00C26E46">
      <w:pPr>
        <w:ind w:left="360"/>
        <w:rPr>
          <w:rFonts w:ascii="Arial" w:eastAsia="Arial" w:hAnsi="Arial" w:cs="Arial"/>
        </w:rPr>
      </w:pPr>
      <w:r w:rsidRPr="00C26E46">
        <w:rPr>
          <w:rFonts w:ascii="Arial" w:eastAsia="Arial" w:hAnsi="Arial" w:cs="Arial"/>
        </w:rPr>
        <w:t>“</w:t>
      </w:r>
      <w:r w:rsidR="00C26E46" w:rsidRPr="00C26E46">
        <w:rPr>
          <w:rFonts w:ascii="Arial" w:eastAsia="Arial" w:hAnsi="Arial" w:cs="Arial"/>
        </w:rPr>
        <w:t>I</w:t>
      </w:r>
      <w:r w:rsidRPr="00C26E46">
        <w:rPr>
          <w:rFonts w:ascii="Arial" w:eastAsia="Arial" w:hAnsi="Arial" w:cs="Arial"/>
        </w:rPr>
        <w:t xml:space="preserve">t’s very important to us that we use the name you have chosen, and we’ll do everything we can to help you feel celebrated here at school. Until you graduate, your parents still </w:t>
      </w:r>
      <w:r w:rsidR="00C26E46">
        <w:rPr>
          <w:rFonts w:ascii="Arial" w:eastAsia="Arial" w:hAnsi="Arial" w:cs="Arial"/>
        </w:rPr>
        <w:t>control</w:t>
      </w:r>
      <w:r w:rsidRPr="00C26E46">
        <w:rPr>
          <w:rFonts w:ascii="Arial" w:eastAsia="Arial" w:hAnsi="Arial" w:cs="Arial"/>
        </w:rPr>
        <w:t xml:space="preserve"> your records here at school, and they might insist that your records not be changed. We’ll have as many conversations as we need to help both you and your parents feel comfortable with you attending school here.”</w:t>
      </w:r>
    </w:p>
    <w:p w14:paraId="774C89A8" w14:textId="309C6611" w:rsidR="00A14694" w:rsidRDefault="3ACD9CEA" w:rsidP="00E57B17">
      <w:pPr>
        <w:pStyle w:val="ListParagraph"/>
        <w:numPr>
          <w:ilvl w:val="0"/>
          <w:numId w:val="2"/>
        </w:numPr>
        <w:spacing w:before="240"/>
        <w:rPr>
          <w:rFonts w:ascii="Arial" w:eastAsia="Arial" w:hAnsi="Arial" w:cs="Arial"/>
        </w:rPr>
      </w:pPr>
      <w:r w:rsidRPr="3ACD9CEA">
        <w:rPr>
          <w:rFonts w:ascii="Arial" w:eastAsia="Arial" w:hAnsi="Arial" w:cs="Arial"/>
          <w:i/>
          <w:iCs/>
        </w:rPr>
        <w:t>What kind of bathrooms can students use?</w:t>
      </w:r>
    </w:p>
    <w:p w14:paraId="2BAB913D" w14:textId="4608A859" w:rsidR="00A14694" w:rsidRDefault="3ACD9CEA" w:rsidP="3ACD9CEA">
      <w:pPr>
        <w:rPr>
          <w:rFonts w:ascii="Arial" w:eastAsia="Arial" w:hAnsi="Arial" w:cs="Arial"/>
        </w:rPr>
      </w:pPr>
      <w:r w:rsidRPr="6E3537B9">
        <w:rPr>
          <w:rFonts w:ascii="Arial" w:eastAsia="Arial" w:hAnsi="Arial" w:cs="Arial"/>
        </w:rPr>
        <w:t>Student can use the bathroom that matches their gender identity.</w:t>
      </w:r>
      <w:r w:rsidR="00E57B17">
        <w:rPr>
          <w:rFonts w:ascii="Arial" w:eastAsia="Arial" w:hAnsi="Arial" w:cs="Arial"/>
        </w:rPr>
        <w:t xml:space="preserve"> </w:t>
      </w:r>
      <w:r w:rsidRPr="6E3537B9">
        <w:rPr>
          <w:rFonts w:ascii="Arial" w:eastAsia="Arial" w:hAnsi="Arial" w:cs="Arial"/>
        </w:rPr>
        <w:t>Schools cannot force students to use single-user bathrooms or to use bathrooms that do not match their gender identity.</w:t>
      </w:r>
      <w:r w:rsidR="00E57B17">
        <w:rPr>
          <w:rFonts w:ascii="Arial" w:eastAsia="Arial" w:hAnsi="Arial" w:cs="Arial"/>
        </w:rPr>
        <w:t xml:space="preserve"> </w:t>
      </w:r>
      <w:r w:rsidRPr="6E3537B9">
        <w:rPr>
          <w:rFonts w:ascii="Arial" w:eastAsia="Arial" w:hAnsi="Arial" w:cs="Arial"/>
        </w:rPr>
        <w:t>It is best practice to make inclusive restrooms available to all students.</w:t>
      </w:r>
    </w:p>
    <w:p w14:paraId="39C149AA" w14:textId="2A65A11D" w:rsidR="00A14694" w:rsidRDefault="3ACD9CEA" w:rsidP="00E57B17">
      <w:pPr>
        <w:pStyle w:val="ListParagraph"/>
        <w:numPr>
          <w:ilvl w:val="0"/>
          <w:numId w:val="2"/>
        </w:numPr>
        <w:spacing w:before="240"/>
        <w:rPr>
          <w:rFonts w:ascii="Arial" w:eastAsia="Arial" w:hAnsi="Arial" w:cs="Arial"/>
          <w:i/>
          <w:iCs/>
        </w:rPr>
      </w:pPr>
      <w:r w:rsidRPr="3ACD9CEA">
        <w:rPr>
          <w:rFonts w:ascii="Arial" w:eastAsia="Arial" w:hAnsi="Arial" w:cs="Arial"/>
          <w:i/>
          <w:iCs/>
        </w:rPr>
        <w:t>Are we allowed to have student affinity groups such as GSAs (Gay/Straight Alliance) or Queer One clubs?</w:t>
      </w:r>
    </w:p>
    <w:p w14:paraId="2BDC83C0" w14:textId="11D52747" w:rsidR="00A14694" w:rsidRDefault="3ACD9CEA" w:rsidP="00A14694">
      <w:pPr>
        <w:rPr>
          <w:rFonts w:ascii="Arial" w:eastAsia="Arial" w:hAnsi="Arial" w:cs="Arial"/>
        </w:rPr>
      </w:pPr>
      <w:r w:rsidRPr="6E3537B9">
        <w:rPr>
          <w:rFonts w:ascii="Arial" w:eastAsia="Arial" w:hAnsi="Arial" w:cs="Arial"/>
        </w:rPr>
        <w:t>Yes.</w:t>
      </w:r>
      <w:r w:rsidR="00E57B17">
        <w:rPr>
          <w:rFonts w:ascii="Arial" w:eastAsia="Arial" w:hAnsi="Arial" w:cs="Arial"/>
        </w:rPr>
        <w:t xml:space="preserve"> </w:t>
      </w:r>
      <w:r w:rsidRPr="6E3537B9">
        <w:rPr>
          <w:rFonts w:ascii="Arial" w:eastAsia="Arial" w:hAnsi="Arial" w:cs="Arial"/>
        </w:rPr>
        <w:t>Students who are interested in any LGBTQ+ club have the right to form and be recognized as any other student group if the school allows extracurricular clubs.</w:t>
      </w:r>
    </w:p>
    <w:p w14:paraId="5303763E" w14:textId="3B1CEE94" w:rsidR="00A14694" w:rsidRDefault="3ACD9CEA" w:rsidP="00E57B17">
      <w:pPr>
        <w:pStyle w:val="ListParagraph"/>
        <w:numPr>
          <w:ilvl w:val="0"/>
          <w:numId w:val="2"/>
        </w:numPr>
        <w:spacing w:before="240"/>
        <w:rPr>
          <w:rFonts w:ascii="Arial" w:eastAsia="Arial" w:hAnsi="Arial" w:cs="Arial"/>
          <w:i/>
          <w:iCs/>
        </w:rPr>
      </w:pPr>
      <w:r w:rsidRPr="3ACD9CEA">
        <w:rPr>
          <w:rFonts w:ascii="Arial" w:eastAsia="Arial" w:hAnsi="Arial" w:cs="Arial"/>
          <w:i/>
          <w:iCs/>
        </w:rPr>
        <w:t>Do we need parental permission for students to join affinity groups?</w:t>
      </w:r>
    </w:p>
    <w:p w14:paraId="221925C9" w14:textId="232CB30C" w:rsidR="00A14694" w:rsidRDefault="3ACD9CEA" w:rsidP="3ACD9CEA">
      <w:pPr>
        <w:rPr>
          <w:rFonts w:ascii="Arial" w:eastAsia="Arial" w:hAnsi="Arial" w:cs="Arial"/>
        </w:rPr>
      </w:pPr>
      <w:r w:rsidRPr="6E3537B9">
        <w:rPr>
          <w:rFonts w:ascii="Arial" w:eastAsia="Arial" w:hAnsi="Arial" w:cs="Arial"/>
        </w:rPr>
        <w:t>Only if the school requires all students that are participating in any extracurricular club to have parental permission to participate.</w:t>
      </w:r>
    </w:p>
    <w:p w14:paraId="520B1A75" w14:textId="6A7F3E59" w:rsidR="00A14694" w:rsidRDefault="3ACD9CEA" w:rsidP="00E57B17">
      <w:pPr>
        <w:pStyle w:val="ListParagraph"/>
        <w:numPr>
          <w:ilvl w:val="0"/>
          <w:numId w:val="2"/>
        </w:numPr>
        <w:spacing w:before="240"/>
        <w:rPr>
          <w:rFonts w:ascii="Arial" w:eastAsia="Arial" w:hAnsi="Arial" w:cs="Arial"/>
          <w:i/>
          <w:iCs/>
        </w:rPr>
      </w:pPr>
      <w:r w:rsidRPr="3ACD9CEA">
        <w:rPr>
          <w:rFonts w:ascii="Arial" w:eastAsia="Arial" w:hAnsi="Arial" w:cs="Arial"/>
          <w:i/>
          <w:iCs/>
        </w:rPr>
        <w:t>Can teachers refuse to use a student’s chosen name &amp; pronouns?</w:t>
      </w:r>
    </w:p>
    <w:p w14:paraId="1A3F5CDA" w14:textId="610F9DD2" w:rsidR="00A14694" w:rsidRDefault="00C26E46" w:rsidP="3ACD9CEA">
      <w:pPr>
        <w:rPr>
          <w:rFonts w:ascii="Arial" w:eastAsia="Arial" w:hAnsi="Arial" w:cs="Arial"/>
        </w:rPr>
      </w:pPr>
      <w:r>
        <w:rPr>
          <w:rFonts w:ascii="Arial" w:eastAsia="Arial" w:hAnsi="Arial" w:cs="Arial"/>
        </w:rPr>
        <w:t>Please discuss this with your lawyer.</w:t>
      </w:r>
      <w:r w:rsidR="00E57B17">
        <w:rPr>
          <w:rFonts w:ascii="Arial" w:eastAsia="Arial" w:hAnsi="Arial" w:cs="Arial"/>
        </w:rPr>
        <w:t xml:space="preserve"> </w:t>
      </w:r>
      <w:r>
        <w:rPr>
          <w:rFonts w:ascii="Arial" w:eastAsia="Arial" w:hAnsi="Arial" w:cs="Arial"/>
        </w:rPr>
        <w:t>The courts are still working through the scope of free-speech and free-exercise accommodations available to teachers</w:t>
      </w:r>
      <w:r w:rsidR="00E57B17">
        <w:rPr>
          <w:rFonts w:ascii="Arial" w:eastAsia="Arial" w:hAnsi="Arial" w:cs="Arial"/>
        </w:rPr>
        <w:t xml:space="preserve"> with conscience-based objections to using students’ preferred names and pronouns.</w:t>
      </w:r>
    </w:p>
    <w:p w14:paraId="574E4636" w14:textId="3C637AE1" w:rsidR="00A14694" w:rsidRDefault="00E57B17" w:rsidP="3ACD9CEA">
      <w:pPr>
        <w:rPr>
          <w:rFonts w:ascii="Arial" w:eastAsia="Arial" w:hAnsi="Arial" w:cs="Arial"/>
        </w:rPr>
      </w:pPr>
      <w:r>
        <w:rPr>
          <w:rFonts w:ascii="Arial" w:eastAsia="Arial" w:hAnsi="Arial" w:cs="Arial"/>
          <w:b/>
          <w:bCs/>
        </w:rPr>
        <w:t>Please note that the school has ethical as well as legal obligations</w:t>
      </w:r>
      <w:r>
        <w:rPr>
          <w:rFonts w:ascii="Arial" w:eastAsia="Arial" w:hAnsi="Arial" w:cs="Arial"/>
        </w:rPr>
        <w:t xml:space="preserve">. </w:t>
      </w:r>
      <w:r w:rsidR="3ACD9CEA" w:rsidRPr="3ACD9CEA">
        <w:rPr>
          <w:rFonts w:ascii="Arial" w:eastAsia="Arial" w:hAnsi="Arial" w:cs="Arial"/>
        </w:rPr>
        <w:t xml:space="preserve">Every national school-based mental health organization has an explicit position statement on supporting and affirming transgender and genderqueer students. This is important to consider when </w:t>
      </w:r>
      <w:r>
        <w:rPr>
          <w:rFonts w:ascii="Arial" w:eastAsia="Arial" w:hAnsi="Arial" w:cs="Arial"/>
        </w:rPr>
        <w:t xml:space="preserve">there are conflicts between teachers, parents, and students, as well as when deciding on the </w:t>
      </w:r>
      <w:r w:rsidR="3ACD9CEA" w:rsidRPr="3ACD9CEA">
        <w:rPr>
          <w:rFonts w:ascii="Arial" w:eastAsia="Arial" w:hAnsi="Arial" w:cs="Arial"/>
        </w:rPr>
        <w:t>training, background, advocacy</w:t>
      </w:r>
      <w:r>
        <w:rPr>
          <w:rFonts w:ascii="Arial" w:eastAsia="Arial" w:hAnsi="Arial" w:cs="Arial"/>
        </w:rPr>
        <w:t>,</w:t>
      </w:r>
      <w:r w:rsidR="3ACD9CEA" w:rsidRPr="3ACD9CEA">
        <w:rPr>
          <w:rFonts w:ascii="Arial" w:eastAsia="Arial" w:hAnsi="Arial" w:cs="Arial"/>
        </w:rPr>
        <w:t xml:space="preserve"> and ethical imperatives </w:t>
      </w:r>
      <w:r>
        <w:rPr>
          <w:rFonts w:ascii="Arial" w:eastAsia="Arial" w:hAnsi="Arial" w:cs="Arial"/>
        </w:rPr>
        <w:t xml:space="preserve">for your </w:t>
      </w:r>
      <w:r w:rsidR="3ACD9CEA" w:rsidRPr="3ACD9CEA">
        <w:rPr>
          <w:rFonts w:ascii="Arial" w:eastAsia="Arial" w:hAnsi="Arial" w:cs="Arial"/>
        </w:rPr>
        <w:t>school-based mental health clinicians. There is simply no room for a school-based mental health clinician to advocate against the well-being of their students.</w:t>
      </w:r>
    </w:p>
    <w:p w14:paraId="2CADC474" w14:textId="2CDA6563" w:rsidR="00A14694" w:rsidRDefault="50290C9C" w:rsidP="3ACD9CEA">
      <w:pPr>
        <w:rPr>
          <w:rFonts w:ascii="Arial" w:eastAsia="Arial" w:hAnsi="Arial" w:cs="Arial"/>
        </w:rPr>
      </w:pPr>
      <w:r w:rsidRPr="50290C9C">
        <w:rPr>
          <w:rFonts w:ascii="Arial" w:eastAsia="Arial" w:hAnsi="Arial" w:cs="Arial"/>
        </w:rPr>
        <w:t>Here are some additional questions to reflect on your practices as a school:</w:t>
      </w:r>
    </w:p>
    <w:p w14:paraId="76E5566D" w14:textId="107C2658" w:rsidR="50290C9C" w:rsidRDefault="50290C9C" w:rsidP="00E57B17">
      <w:pPr>
        <w:pStyle w:val="ListParagraph"/>
        <w:numPr>
          <w:ilvl w:val="0"/>
          <w:numId w:val="1"/>
        </w:numPr>
        <w:rPr>
          <w:rFonts w:eastAsiaTheme="minorEastAsia"/>
        </w:rPr>
      </w:pPr>
      <w:r w:rsidRPr="50290C9C">
        <w:rPr>
          <w:rFonts w:ascii="Arial" w:eastAsia="Arial" w:hAnsi="Arial" w:cs="Arial"/>
        </w:rPr>
        <w:t xml:space="preserve">Do we have systems in place to notify staff of name/gender changes/preferences? </w:t>
      </w:r>
    </w:p>
    <w:p w14:paraId="6EC82BFE" w14:textId="418D7283" w:rsidR="50290C9C" w:rsidRDefault="50290C9C" w:rsidP="00E57B17">
      <w:pPr>
        <w:pStyle w:val="ListParagraph"/>
        <w:numPr>
          <w:ilvl w:val="0"/>
          <w:numId w:val="1"/>
        </w:numPr>
        <w:rPr>
          <w:rFonts w:eastAsiaTheme="minorEastAsia"/>
        </w:rPr>
      </w:pPr>
      <w:r w:rsidRPr="50290C9C">
        <w:rPr>
          <w:rFonts w:ascii="Arial" w:eastAsia="Arial" w:hAnsi="Arial" w:cs="Arial"/>
        </w:rPr>
        <w:t>How can we include transgender youth when there are gendered activities?</w:t>
      </w:r>
    </w:p>
    <w:p w14:paraId="05F2D3E7" w14:textId="55BCBBA7" w:rsidR="50290C9C" w:rsidRDefault="50290C9C" w:rsidP="00E57B17">
      <w:pPr>
        <w:pStyle w:val="ListParagraph"/>
        <w:numPr>
          <w:ilvl w:val="0"/>
          <w:numId w:val="1"/>
        </w:numPr>
        <w:rPr>
          <w:rFonts w:eastAsiaTheme="minorEastAsia"/>
        </w:rPr>
      </w:pPr>
      <w:r w:rsidRPr="50290C9C">
        <w:rPr>
          <w:rFonts w:ascii="Arial" w:eastAsia="Arial" w:hAnsi="Arial" w:cs="Arial"/>
        </w:rPr>
        <w:t>What is our dress code policy and how will it affect transgender students?</w:t>
      </w:r>
    </w:p>
    <w:p w14:paraId="05283C9E" w14:textId="14F18DBF" w:rsidR="50290C9C" w:rsidRDefault="50290C9C" w:rsidP="00E57B17">
      <w:pPr>
        <w:pStyle w:val="ListParagraph"/>
        <w:numPr>
          <w:ilvl w:val="0"/>
          <w:numId w:val="1"/>
        </w:numPr>
        <w:rPr>
          <w:rFonts w:eastAsiaTheme="minorEastAsia"/>
        </w:rPr>
      </w:pPr>
      <w:r w:rsidRPr="50290C9C">
        <w:rPr>
          <w:rFonts w:ascii="Arial" w:eastAsia="Arial" w:hAnsi="Arial" w:cs="Arial"/>
        </w:rPr>
        <w:t>What are our nondiscrimination and anti-bullying policies? Are sexual orientation, gender identity, and gender expression included in protections?</w:t>
      </w:r>
    </w:p>
    <w:p w14:paraId="1A89BB52" w14:textId="7C41121A" w:rsidR="50290C9C" w:rsidRPr="00E57B17" w:rsidRDefault="50290C9C" w:rsidP="00E57B17">
      <w:pPr>
        <w:pStyle w:val="ListParagraph"/>
        <w:numPr>
          <w:ilvl w:val="0"/>
          <w:numId w:val="1"/>
        </w:numPr>
        <w:rPr>
          <w:rFonts w:eastAsiaTheme="minorEastAsia"/>
        </w:rPr>
      </w:pPr>
      <w:r w:rsidRPr="50290C9C">
        <w:rPr>
          <w:rFonts w:ascii="Arial" w:eastAsia="Arial" w:hAnsi="Arial" w:cs="Arial"/>
        </w:rPr>
        <w:t xml:space="preserve">What is our school plan if a </w:t>
      </w:r>
      <w:proofErr w:type="gramStart"/>
      <w:r w:rsidRPr="50290C9C">
        <w:rPr>
          <w:rFonts w:ascii="Arial" w:eastAsia="Arial" w:hAnsi="Arial" w:cs="Arial"/>
        </w:rPr>
        <w:t>transgender student experiences</w:t>
      </w:r>
      <w:proofErr w:type="gramEnd"/>
      <w:r w:rsidRPr="50290C9C">
        <w:rPr>
          <w:rFonts w:ascii="Arial" w:eastAsia="Arial" w:hAnsi="Arial" w:cs="Arial"/>
        </w:rPr>
        <w:t xml:space="preserve"> bullying or discrimination?</w:t>
      </w:r>
    </w:p>
    <w:p w14:paraId="0E353AD3" w14:textId="5B7C6CCE" w:rsidR="00A14694" w:rsidRDefault="3ACD9CEA" w:rsidP="3ACD9CEA">
      <w:pPr>
        <w:rPr>
          <w:rFonts w:ascii="Arial" w:eastAsia="Arial" w:hAnsi="Arial" w:cs="Arial"/>
          <w:u w:val="single"/>
        </w:rPr>
      </w:pPr>
      <w:r w:rsidRPr="3ACD9CEA">
        <w:rPr>
          <w:rFonts w:ascii="Arial" w:eastAsia="Arial" w:hAnsi="Arial" w:cs="Arial"/>
          <w:u w:val="single"/>
        </w:rPr>
        <w:lastRenderedPageBreak/>
        <w:t>Resources &amp; References</w:t>
      </w:r>
    </w:p>
    <w:p w14:paraId="195300E4" w14:textId="6EEFD88E" w:rsidR="00A14694" w:rsidRDefault="00F35F73" w:rsidP="3ACD9CEA">
      <w:pPr>
        <w:rPr>
          <w:rFonts w:ascii="Arial" w:eastAsia="Arial" w:hAnsi="Arial" w:cs="Arial"/>
        </w:rPr>
      </w:pPr>
      <w:hyperlink r:id="rId8">
        <w:r w:rsidR="3ACD9CEA" w:rsidRPr="3ACD9CEA">
          <w:rPr>
            <w:rStyle w:val="Hyperlink"/>
            <w:rFonts w:ascii="Arial" w:eastAsia="Arial" w:hAnsi="Arial" w:cs="Arial"/>
          </w:rPr>
          <w:t>Know Your Rights: A [Legal] Guide for Transgender and Gender Nonconforming Students</w:t>
        </w:r>
      </w:hyperlink>
      <w:r w:rsidR="3ACD9CEA" w:rsidRPr="3ACD9CEA">
        <w:rPr>
          <w:rFonts w:ascii="Arial" w:eastAsia="Arial" w:hAnsi="Arial" w:cs="Arial"/>
        </w:rPr>
        <w:t xml:space="preserve"> (GLSEN) </w:t>
      </w:r>
    </w:p>
    <w:p w14:paraId="7840E529" w14:textId="6CFC5435" w:rsidR="00A14694" w:rsidRDefault="00F35F73" w:rsidP="3ACD9CEA">
      <w:pPr>
        <w:rPr>
          <w:rFonts w:ascii="Arial" w:eastAsia="Arial" w:hAnsi="Arial" w:cs="Arial"/>
        </w:rPr>
      </w:pPr>
      <w:hyperlink r:id="rId9">
        <w:r w:rsidR="3ACD9CEA" w:rsidRPr="3ACD9CEA">
          <w:rPr>
            <w:rStyle w:val="Hyperlink"/>
            <w:rFonts w:ascii="Arial" w:eastAsia="Arial" w:hAnsi="Arial" w:cs="Arial"/>
          </w:rPr>
          <w:t>Model School Policy Statement for Genderqueer Students</w:t>
        </w:r>
      </w:hyperlink>
      <w:r w:rsidR="3ACD9CEA" w:rsidRPr="3ACD9CEA">
        <w:rPr>
          <w:rFonts w:ascii="Arial" w:eastAsia="Arial" w:hAnsi="Arial" w:cs="Arial"/>
        </w:rPr>
        <w:t xml:space="preserve"> (</w:t>
      </w:r>
      <w:proofErr w:type="spellStart"/>
      <w:r w:rsidR="3ACD9CEA" w:rsidRPr="3ACD9CEA">
        <w:rPr>
          <w:rFonts w:ascii="Arial" w:eastAsia="Arial" w:hAnsi="Arial" w:cs="Arial"/>
        </w:rPr>
        <w:t>Transequality</w:t>
      </w:r>
      <w:proofErr w:type="spellEnd"/>
      <w:r w:rsidR="3ACD9CEA" w:rsidRPr="3ACD9CEA">
        <w:rPr>
          <w:rFonts w:ascii="Arial" w:eastAsia="Arial" w:hAnsi="Arial" w:cs="Arial"/>
        </w:rPr>
        <w:t xml:space="preserve">) </w:t>
      </w:r>
    </w:p>
    <w:p w14:paraId="366E41A0" w14:textId="4DDEFA42" w:rsidR="00A14694" w:rsidRDefault="00F35F73" w:rsidP="3ACD9CEA">
      <w:pPr>
        <w:rPr>
          <w:rFonts w:ascii="Arial" w:eastAsia="Arial" w:hAnsi="Arial" w:cs="Arial"/>
        </w:rPr>
      </w:pPr>
      <w:hyperlink r:id="rId10">
        <w:r w:rsidR="3ACD9CEA" w:rsidRPr="3ACD9CEA">
          <w:rPr>
            <w:rStyle w:val="Hyperlink"/>
            <w:rFonts w:ascii="Arial" w:eastAsia="Arial" w:hAnsi="Arial" w:cs="Arial"/>
          </w:rPr>
          <w:t>Affinity Groups in Schools</w:t>
        </w:r>
      </w:hyperlink>
      <w:r w:rsidR="3ACD9CEA" w:rsidRPr="3ACD9CEA">
        <w:rPr>
          <w:rFonts w:ascii="Arial" w:eastAsia="Arial" w:hAnsi="Arial" w:cs="Arial"/>
        </w:rPr>
        <w:t xml:space="preserve"> (Eastern Educational Resource Collaborative) </w:t>
      </w:r>
    </w:p>
    <w:p w14:paraId="3E8FFECA" w14:textId="1052A5CF" w:rsidR="00A14694" w:rsidRDefault="00F35F73" w:rsidP="3ACD9CEA">
      <w:pPr>
        <w:rPr>
          <w:rFonts w:ascii="Arial" w:eastAsia="Arial" w:hAnsi="Arial" w:cs="Arial"/>
        </w:rPr>
      </w:pPr>
      <w:hyperlink r:id="rId11">
        <w:r w:rsidR="3ACD9CEA" w:rsidRPr="3ACD9CEA">
          <w:rPr>
            <w:rStyle w:val="Hyperlink"/>
            <w:rFonts w:ascii="Arial" w:eastAsia="Arial" w:hAnsi="Arial" w:cs="Arial"/>
          </w:rPr>
          <w:t>US Department of Education Policy Letter on Transgender Students-Fact Sheet</w:t>
        </w:r>
      </w:hyperlink>
      <w:r w:rsidR="3ACD9CEA" w:rsidRPr="3ACD9CEA">
        <w:rPr>
          <w:rFonts w:ascii="Arial" w:eastAsia="Arial" w:hAnsi="Arial" w:cs="Arial"/>
        </w:rPr>
        <w:t xml:space="preserve"> (</w:t>
      </w:r>
      <w:proofErr w:type="spellStart"/>
      <w:r w:rsidR="3ACD9CEA" w:rsidRPr="3ACD9CEA">
        <w:rPr>
          <w:rFonts w:ascii="Arial" w:eastAsia="Arial" w:hAnsi="Arial" w:cs="Arial"/>
        </w:rPr>
        <w:t>Transequality</w:t>
      </w:r>
      <w:proofErr w:type="spellEnd"/>
      <w:r w:rsidR="3ACD9CEA" w:rsidRPr="3ACD9CEA">
        <w:rPr>
          <w:rFonts w:ascii="Arial" w:eastAsia="Arial" w:hAnsi="Arial" w:cs="Arial"/>
        </w:rPr>
        <w:t>)</w:t>
      </w:r>
    </w:p>
    <w:p w14:paraId="4FAF8D77" w14:textId="4365B200" w:rsidR="00A14694" w:rsidRDefault="00F35F73" w:rsidP="3ACD9CEA">
      <w:pPr>
        <w:rPr>
          <w:rFonts w:ascii="Arial" w:eastAsia="Arial" w:hAnsi="Arial" w:cs="Arial"/>
        </w:rPr>
      </w:pPr>
      <w:hyperlink r:id="rId12">
        <w:r w:rsidR="3ACD9CEA" w:rsidRPr="3ACD9CEA">
          <w:rPr>
            <w:rStyle w:val="Hyperlink"/>
            <w:rFonts w:ascii="Arial" w:eastAsia="Arial" w:hAnsi="Arial" w:cs="Arial"/>
          </w:rPr>
          <w:t>Record Integration Tracking System Guidance</w:t>
        </w:r>
      </w:hyperlink>
      <w:r w:rsidR="3ACD9CEA" w:rsidRPr="3ACD9CEA">
        <w:rPr>
          <w:rFonts w:ascii="Arial" w:eastAsia="Arial" w:hAnsi="Arial" w:cs="Arial"/>
        </w:rPr>
        <w:t xml:space="preserve"> (Colorado Department of Education)</w:t>
      </w:r>
    </w:p>
    <w:p w14:paraId="7EE1685A" w14:textId="245FC208" w:rsidR="00A14694" w:rsidRDefault="00F35F73" w:rsidP="3ACD9CEA">
      <w:pPr>
        <w:rPr>
          <w:rFonts w:ascii="Arial" w:eastAsia="Arial" w:hAnsi="Arial" w:cs="Arial"/>
        </w:rPr>
      </w:pPr>
      <w:hyperlink r:id="rId13">
        <w:r w:rsidR="3ACD9CEA" w:rsidRPr="3ACD9CEA">
          <w:rPr>
            <w:rStyle w:val="Hyperlink"/>
            <w:rFonts w:ascii="Arial" w:eastAsia="Arial" w:hAnsi="Arial" w:cs="Arial"/>
          </w:rPr>
          <w:t>Federal Case Law on Transgender People &amp; Discrimination</w:t>
        </w:r>
      </w:hyperlink>
      <w:r w:rsidR="3ACD9CEA" w:rsidRPr="3ACD9CEA">
        <w:rPr>
          <w:rFonts w:ascii="Arial" w:eastAsia="Arial" w:hAnsi="Arial" w:cs="Arial"/>
        </w:rPr>
        <w:t xml:space="preserve"> (</w:t>
      </w:r>
      <w:proofErr w:type="spellStart"/>
      <w:r w:rsidR="3ACD9CEA" w:rsidRPr="3ACD9CEA">
        <w:rPr>
          <w:rFonts w:ascii="Arial" w:eastAsia="Arial" w:hAnsi="Arial" w:cs="Arial"/>
        </w:rPr>
        <w:t>Transequality</w:t>
      </w:r>
      <w:proofErr w:type="spellEnd"/>
      <w:r w:rsidR="3ACD9CEA" w:rsidRPr="3ACD9CEA">
        <w:rPr>
          <w:rFonts w:ascii="Arial" w:eastAsia="Arial" w:hAnsi="Arial" w:cs="Arial"/>
        </w:rPr>
        <w:t>)</w:t>
      </w:r>
    </w:p>
    <w:p w14:paraId="7BBC4251" w14:textId="5EC57569" w:rsidR="00A14694" w:rsidRDefault="00F35F73" w:rsidP="3ACD9CEA">
      <w:pPr>
        <w:rPr>
          <w:rFonts w:ascii="Arial" w:eastAsia="Arial" w:hAnsi="Arial" w:cs="Arial"/>
        </w:rPr>
      </w:pPr>
      <w:hyperlink r:id="rId14">
        <w:r w:rsidR="3ACD9CEA" w:rsidRPr="3ACD9CEA">
          <w:rPr>
            <w:rStyle w:val="Hyperlink"/>
            <w:rFonts w:ascii="Arial" w:eastAsia="Arial" w:hAnsi="Arial" w:cs="Arial"/>
          </w:rPr>
          <w:t>American School Counselors Association Position Statement on Transgender Youth</w:t>
        </w:r>
      </w:hyperlink>
      <w:r w:rsidR="3ACD9CEA" w:rsidRPr="3ACD9CEA">
        <w:rPr>
          <w:rFonts w:ascii="Arial" w:eastAsia="Arial" w:hAnsi="Arial" w:cs="Arial"/>
        </w:rPr>
        <w:t xml:space="preserve"> (ASCA)</w:t>
      </w:r>
    </w:p>
    <w:p w14:paraId="7ACA1413" w14:textId="09B52FFF" w:rsidR="00A14694" w:rsidRDefault="00F35F73" w:rsidP="3ACD9CEA">
      <w:pPr>
        <w:rPr>
          <w:rFonts w:ascii="Arial" w:eastAsia="Arial" w:hAnsi="Arial" w:cs="Arial"/>
        </w:rPr>
      </w:pPr>
      <w:hyperlink r:id="rId15">
        <w:r w:rsidR="3ACD9CEA" w:rsidRPr="3ACD9CEA">
          <w:rPr>
            <w:rStyle w:val="Hyperlink"/>
            <w:rFonts w:ascii="Arial" w:eastAsia="Arial" w:hAnsi="Arial" w:cs="Arial"/>
          </w:rPr>
          <w:t>School Social Work Association of America Resolution Statement</w:t>
        </w:r>
      </w:hyperlink>
      <w:r w:rsidR="3ACD9CEA" w:rsidRPr="3ACD9CEA">
        <w:rPr>
          <w:rFonts w:ascii="Arial" w:eastAsia="Arial" w:hAnsi="Arial" w:cs="Arial"/>
        </w:rPr>
        <w:t xml:space="preserve"> (SSWAA)</w:t>
      </w:r>
    </w:p>
    <w:p w14:paraId="491CBE28" w14:textId="033E32C6" w:rsidR="00A14694" w:rsidRDefault="00F35F73" w:rsidP="3ACD9CEA">
      <w:pPr>
        <w:rPr>
          <w:rFonts w:ascii="Arial" w:eastAsia="Arial" w:hAnsi="Arial" w:cs="Arial"/>
        </w:rPr>
      </w:pPr>
      <w:hyperlink r:id="rId16">
        <w:r w:rsidR="3ACD9CEA" w:rsidRPr="3ACD9CEA">
          <w:rPr>
            <w:rStyle w:val="Hyperlink"/>
            <w:rFonts w:ascii="Arial" w:eastAsia="Arial" w:hAnsi="Arial" w:cs="Arial"/>
          </w:rPr>
          <w:t>National Association of School Psychologists Position Statements &amp; Policies</w:t>
        </w:r>
      </w:hyperlink>
      <w:r w:rsidR="3ACD9CEA" w:rsidRPr="3ACD9CEA">
        <w:rPr>
          <w:rFonts w:ascii="Arial" w:eastAsia="Arial" w:hAnsi="Arial" w:cs="Arial"/>
        </w:rPr>
        <w:t xml:space="preserve"> (NASP)</w:t>
      </w:r>
    </w:p>
    <w:p w14:paraId="042E75C7" w14:textId="2800B7F0" w:rsidR="00FC74D8" w:rsidRDefault="00F35F73" w:rsidP="3ACD9CEA">
      <w:pPr>
        <w:rPr>
          <w:rFonts w:ascii="Arial" w:eastAsia="Arial" w:hAnsi="Arial" w:cs="Arial"/>
        </w:rPr>
      </w:pPr>
      <w:hyperlink r:id="rId17" w:history="1">
        <w:r w:rsidR="00FC74D8" w:rsidRPr="00FC74D8">
          <w:rPr>
            <w:rStyle w:val="Hyperlink"/>
            <w:rFonts w:ascii="Arial" w:eastAsia="Arial" w:hAnsi="Arial" w:cs="Arial"/>
          </w:rPr>
          <w:t>Guidance for Educators Working with Transgender and Gender Nonconforming Students</w:t>
        </w:r>
      </w:hyperlink>
      <w:r w:rsidR="00FC74D8">
        <w:rPr>
          <w:rFonts w:ascii="Arial" w:eastAsia="Arial" w:hAnsi="Arial" w:cs="Arial"/>
        </w:rPr>
        <w:t xml:space="preserve"> (One Colorado)</w:t>
      </w:r>
    </w:p>
    <w:p w14:paraId="2C078E63" w14:textId="1AC2A62F" w:rsidR="00A14694" w:rsidRDefault="00A14694" w:rsidP="3ACD9CEA">
      <w:pPr>
        <w:rPr>
          <w:rFonts w:ascii="Arial" w:eastAsia="Arial" w:hAnsi="Arial" w:cs="Arial"/>
        </w:rPr>
      </w:pPr>
    </w:p>
    <w:sectPr w:rsidR="00A1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5AFB"/>
    <w:multiLevelType w:val="hybridMultilevel"/>
    <w:tmpl w:val="3C2A924C"/>
    <w:lvl w:ilvl="0" w:tplc="112035EC">
      <w:start w:val="1"/>
      <w:numFmt w:val="decimal"/>
      <w:lvlText w:val="%1."/>
      <w:lvlJc w:val="left"/>
      <w:pPr>
        <w:ind w:left="720" w:hanging="360"/>
      </w:pPr>
    </w:lvl>
    <w:lvl w:ilvl="1" w:tplc="2C065C28">
      <w:start w:val="1"/>
      <w:numFmt w:val="lowerLetter"/>
      <w:lvlText w:val="%2."/>
      <w:lvlJc w:val="left"/>
      <w:pPr>
        <w:ind w:left="1440" w:hanging="360"/>
      </w:pPr>
    </w:lvl>
    <w:lvl w:ilvl="2" w:tplc="EBACB028">
      <w:start w:val="1"/>
      <w:numFmt w:val="lowerRoman"/>
      <w:lvlText w:val="%3."/>
      <w:lvlJc w:val="right"/>
      <w:pPr>
        <w:ind w:left="2160" w:hanging="180"/>
      </w:pPr>
    </w:lvl>
    <w:lvl w:ilvl="3" w:tplc="867823CA">
      <w:start w:val="1"/>
      <w:numFmt w:val="decimal"/>
      <w:lvlText w:val="%4."/>
      <w:lvlJc w:val="left"/>
      <w:pPr>
        <w:ind w:left="2880" w:hanging="360"/>
      </w:pPr>
    </w:lvl>
    <w:lvl w:ilvl="4" w:tplc="7AB88190">
      <w:start w:val="1"/>
      <w:numFmt w:val="lowerLetter"/>
      <w:lvlText w:val="%5."/>
      <w:lvlJc w:val="left"/>
      <w:pPr>
        <w:ind w:left="3600" w:hanging="360"/>
      </w:pPr>
    </w:lvl>
    <w:lvl w:ilvl="5" w:tplc="F440FC44">
      <w:start w:val="1"/>
      <w:numFmt w:val="lowerRoman"/>
      <w:lvlText w:val="%6."/>
      <w:lvlJc w:val="right"/>
      <w:pPr>
        <w:ind w:left="4320" w:hanging="180"/>
      </w:pPr>
    </w:lvl>
    <w:lvl w:ilvl="6" w:tplc="585E9356">
      <w:start w:val="1"/>
      <w:numFmt w:val="decimal"/>
      <w:lvlText w:val="%7."/>
      <w:lvlJc w:val="left"/>
      <w:pPr>
        <w:ind w:left="5040" w:hanging="360"/>
      </w:pPr>
    </w:lvl>
    <w:lvl w:ilvl="7" w:tplc="EB5A5B10">
      <w:start w:val="1"/>
      <w:numFmt w:val="lowerLetter"/>
      <w:lvlText w:val="%8."/>
      <w:lvlJc w:val="left"/>
      <w:pPr>
        <w:ind w:left="5760" w:hanging="360"/>
      </w:pPr>
    </w:lvl>
    <w:lvl w:ilvl="8" w:tplc="DB62B8E0">
      <w:start w:val="1"/>
      <w:numFmt w:val="lowerRoman"/>
      <w:lvlText w:val="%9."/>
      <w:lvlJc w:val="right"/>
      <w:pPr>
        <w:ind w:left="6480" w:hanging="180"/>
      </w:pPr>
    </w:lvl>
  </w:abstractNum>
  <w:abstractNum w:abstractNumId="1" w15:restartNumberingAfterBreak="0">
    <w:nsid w:val="7FD9744B"/>
    <w:multiLevelType w:val="hybridMultilevel"/>
    <w:tmpl w:val="47BAFB04"/>
    <w:lvl w:ilvl="0" w:tplc="9160A628">
      <w:start w:val="1"/>
      <w:numFmt w:val="decimal"/>
      <w:lvlText w:val="%1."/>
      <w:lvlJc w:val="left"/>
      <w:pPr>
        <w:ind w:left="720" w:hanging="360"/>
      </w:pPr>
    </w:lvl>
    <w:lvl w:ilvl="1" w:tplc="F1760310">
      <w:start w:val="1"/>
      <w:numFmt w:val="lowerLetter"/>
      <w:lvlText w:val="%2."/>
      <w:lvlJc w:val="left"/>
      <w:pPr>
        <w:ind w:left="1440" w:hanging="360"/>
      </w:pPr>
    </w:lvl>
    <w:lvl w:ilvl="2" w:tplc="D9985D04">
      <w:start w:val="1"/>
      <w:numFmt w:val="lowerRoman"/>
      <w:lvlText w:val="%3."/>
      <w:lvlJc w:val="right"/>
      <w:pPr>
        <w:ind w:left="2160" w:hanging="180"/>
      </w:pPr>
    </w:lvl>
    <w:lvl w:ilvl="3" w:tplc="D8FE0A36">
      <w:start w:val="1"/>
      <w:numFmt w:val="decimal"/>
      <w:lvlText w:val="%4."/>
      <w:lvlJc w:val="left"/>
      <w:pPr>
        <w:ind w:left="2880" w:hanging="360"/>
      </w:pPr>
    </w:lvl>
    <w:lvl w:ilvl="4" w:tplc="FB08E478">
      <w:start w:val="1"/>
      <w:numFmt w:val="lowerLetter"/>
      <w:lvlText w:val="%5."/>
      <w:lvlJc w:val="left"/>
      <w:pPr>
        <w:ind w:left="3600" w:hanging="360"/>
      </w:pPr>
    </w:lvl>
    <w:lvl w:ilvl="5" w:tplc="846478AE">
      <w:start w:val="1"/>
      <w:numFmt w:val="lowerRoman"/>
      <w:lvlText w:val="%6."/>
      <w:lvlJc w:val="right"/>
      <w:pPr>
        <w:ind w:left="4320" w:hanging="180"/>
      </w:pPr>
    </w:lvl>
    <w:lvl w:ilvl="6" w:tplc="1E702E5E">
      <w:start w:val="1"/>
      <w:numFmt w:val="decimal"/>
      <w:lvlText w:val="%7."/>
      <w:lvlJc w:val="left"/>
      <w:pPr>
        <w:ind w:left="5040" w:hanging="360"/>
      </w:pPr>
    </w:lvl>
    <w:lvl w:ilvl="7" w:tplc="20941790">
      <w:start w:val="1"/>
      <w:numFmt w:val="lowerLetter"/>
      <w:lvlText w:val="%8."/>
      <w:lvlJc w:val="left"/>
      <w:pPr>
        <w:ind w:left="5760" w:hanging="360"/>
      </w:pPr>
    </w:lvl>
    <w:lvl w:ilvl="8" w:tplc="37226E46">
      <w:start w:val="1"/>
      <w:numFmt w:val="lowerRoman"/>
      <w:lvlText w:val="%9."/>
      <w:lvlJc w:val="right"/>
      <w:pPr>
        <w:ind w:left="6480" w:hanging="180"/>
      </w:pPr>
    </w:lvl>
  </w:abstractNum>
  <w:num w:numId="1" w16cid:durableId="1727099177">
    <w:abstractNumId w:val="0"/>
  </w:num>
  <w:num w:numId="2" w16cid:durableId="460264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12E982"/>
    <w:rsid w:val="00042842"/>
    <w:rsid w:val="001C39DA"/>
    <w:rsid w:val="002A44E6"/>
    <w:rsid w:val="00676D6A"/>
    <w:rsid w:val="0068560F"/>
    <w:rsid w:val="00A14694"/>
    <w:rsid w:val="00BE1A6B"/>
    <w:rsid w:val="00C26E46"/>
    <w:rsid w:val="00C34766"/>
    <w:rsid w:val="00D304E3"/>
    <w:rsid w:val="00D4298E"/>
    <w:rsid w:val="00D42A42"/>
    <w:rsid w:val="00E57B17"/>
    <w:rsid w:val="00F35F73"/>
    <w:rsid w:val="00FC74D8"/>
    <w:rsid w:val="01E48029"/>
    <w:rsid w:val="026CE5BB"/>
    <w:rsid w:val="02BF4D90"/>
    <w:rsid w:val="038BD530"/>
    <w:rsid w:val="0428A2EB"/>
    <w:rsid w:val="05DE0411"/>
    <w:rsid w:val="067B19B9"/>
    <w:rsid w:val="085F4653"/>
    <w:rsid w:val="09B2BA7B"/>
    <w:rsid w:val="0A97E46F"/>
    <w:rsid w:val="0B83B9DC"/>
    <w:rsid w:val="0F0A9521"/>
    <w:rsid w:val="0F8F30C2"/>
    <w:rsid w:val="1093AB7D"/>
    <w:rsid w:val="10F4AA0A"/>
    <w:rsid w:val="11DAFC17"/>
    <w:rsid w:val="12C6D184"/>
    <w:rsid w:val="13049A9E"/>
    <w:rsid w:val="13B49592"/>
    <w:rsid w:val="143EC6B5"/>
    <w:rsid w:val="1462A1E5"/>
    <w:rsid w:val="15129CD9"/>
    <w:rsid w:val="184A706C"/>
    <w:rsid w:val="18F90F7B"/>
    <w:rsid w:val="1933B623"/>
    <w:rsid w:val="1A8263F3"/>
    <w:rsid w:val="1B2E62D8"/>
    <w:rsid w:val="1B40DEC1"/>
    <w:rsid w:val="1C925487"/>
    <w:rsid w:val="1E002B47"/>
    <w:rsid w:val="1E2375D6"/>
    <w:rsid w:val="1F12E982"/>
    <w:rsid w:val="228D75D8"/>
    <w:rsid w:val="22C78C92"/>
    <w:rsid w:val="246E0A57"/>
    <w:rsid w:val="27E0C4C9"/>
    <w:rsid w:val="28807880"/>
    <w:rsid w:val="28DD0F80"/>
    <w:rsid w:val="2C729CBD"/>
    <w:rsid w:val="2FEC33CB"/>
    <w:rsid w:val="31CE3195"/>
    <w:rsid w:val="34B0C8AA"/>
    <w:rsid w:val="357F78F8"/>
    <w:rsid w:val="35C6037E"/>
    <w:rsid w:val="36B5D4FA"/>
    <w:rsid w:val="37E8696C"/>
    <w:rsid w:val="39050599"/>
    <w:rsid w:val="3935A3FB"/>
    <w:rsid w:val="39ED75BC"/>
    <w:rsid w:val="3ACD9CEA"/>
    <w:rsid w:val="3C972D8C"/>
    <w:rsid w:val="3D58A84A"/>
    <w:rsid w:val="3D83557E"/>
    <w:rsid w:val="3EDB504E"/>
    <w:rsid w:val="4212F110"/>
    <w:rsid w:val="444197F9"/>
    <w:rsid w:val="46379053"/>
    <w:rsid w:val="49C50410"/>
    <w:rsid w:val="4A9C0BFA"/>
    <w:rsid w:val="4B0B0176"/>
    <w:rsid w:val="4C9FF480"/>
    <w:rsid w:val="4F027D19"/>
    <w:rsid w:val="4FF86444"/>
    <w:rsid w:val="50290C9C"/>
    <w:rsid w:val="509E4D7A"/>
    <w:rsid w:val="50CB1154"/>
    <w:rsid w:val="52800A12"/>
    <w:rsid w:val="54181BCD"/>
    <w:rsid w:val="555B0159"/>
    <w:rsid w:val="56788690"/>
    <w:rsid w:val="56F1F69F"/>
    <w:rsid w:val="57F048F0"/>
    <w:rsid w:val="581AF624"/>
    <w:rsid w:val="5972F0F4"/>
    <w:rsid w:val="5A299761"/>
    <w:rsid w:val="5A3F6D49"/>
    <w:rsid w:val="5C6ABB2E"/>
    <w:rsid w:val="5EAEC4F7"/>
    <w:rsid w:val="6069E325"/>
    <w:rsid w:val="613E2C51"/>
    <w:rsid w:val="642B7278"/>
    <w:rsid w:val="653D5448"/>
    <w:rsid w:val="67586428"/>
    <w:rsid w:val="677F77F5"/>
    <w:rsid w:val="67AD6DD5"/>
    <w:rsid w:val="691B4856"/>
    <w:rsid w:val="693015D9"/>
    <w:rsid w:val="6983607B"/>
    <w:rsid w:val="6A835C9F"/>
    <w:rsid w:val="6ACBE63A"/>
    <w:rsid w:val="6B1F30DC"/>
    <w:rsid w:val="6BA53FBE"/>
    <w:rsid w:val="6C18A812"/>
    <w:rsid w:val="6C1F2D00"/>
    <w:rsid w:val="6C66C7B5"/>
    <w:rsid w:val="6D5E348B"/>
    <w:rsid w:val="6E0386FC"/>
    <w:rsid w:val="6E3537B9"/>
    <w:rsid w:val="6FAD652A"/>
    <w:rsid w:val="73EE8AF7"/>
    <w:rsid w:val="75355935"/>
    <w:rsid w:val="765D0868"/>
    <w:rsid w:val="76D12996"/>
    <w:rsid w:val="78712729"/>
    <w:rsid w:val="7AE9F78A"/>
    <w:rsid w:val="7B0183CB"/>
    <w:rsid w:val="7B8B725C"/>
    <w:rsid w:val="7C9D542C"/>
    <w:rsid w:val="7D719D58"/>
    <w:rsid w:val="7EACDF66"/>
    <w:rsid w:val="7F0D6DB9"/>
    <w:rsid w:val="7FEAC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E982"/>
  <w15:chartTrackingRefBased/>
  <w15:docId w15:val="{B8E475E5-0828-412D-A758-E8F51555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C74D8"/>
    <w:rPr>
      <w:color w:val="605E5C"/>
      <w:shd w:val="clear" w:color="auto" w:fill="E1DFDD"/>
    </w:rPr>
  </w:style>
  <w:style w:type="paragraph" w:styleId="Title">
    <w:name w:val="Title"/>
    <w:basedOn w:val="Normal"/>
    <w:next w:val="Normal"/>
    <w:link w:val="TitleChar"/>
    <w:uiPriority w:val="10"/>
    <w:qFormat/>
    <w:rsid w:val="00F35F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F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sen.org/sites/default/files/2020-04/070616-tgncstudentkyr_brochure.pdf" TargetMode="External"/><Relationship Id="rId13" Type="http://schemas.openxmlformats.org/officeDocument/2006/relationships/hyperlink" Target="https://transequality.org/federal-case-law-on-transgender-people-and-discrimin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cde.state.co.us%2Fdatapipeline%2Fritsdocumentationguidance2020&amp;data=04%7C01%7CJoe.Peters%40coag.gov%7Cb7d0cad6e04c42cbc62208da180bcda1%7C811650beeaf1453ea4b43e7953f7056b%7C0%7C0%7C637848736857751963%7CUnknown%7CTWFpbGZsb3d8eyJWIjoiMC4wLjAwMDAiLCJQIjoiV2luMzIiLCJBTiI6Ik1haWwiLCJXVCI6Mn0%3D%7C3000&amp;sdata=Ji%2Fz3MnS5WosplTP%2BnmSAOnXn6s0EeWYcKnsmdnRwUY%3D&amp;reserved=0" TargetMode="External"/><Relationship Id="rId12" Type="http://schemas.openxmlformats.org/officeDocument/2006/relationships/hyperlink" Target="https://www.cde.state.co.us/datapipeline/ritsdocumentationguidance2020" TargetMode="External"/><Relationship Id="rId17" Type="http://schemas.openxmlformats.org/officeDocument/2006/relationships/hyperlink" Target="https://one-colorado.org/wp-content/uploads/2017/06/TransResourceGuide_2016.pdf" TargetMode="External"/><Relationship Id="rId2" Type="http://schemas.openxmlformats.org/officeDocument/2006/relationships/styles" Target="styles.xml"/><Relationship Id="rId16" Type="http://schemas.openxmlformats.org/officeDocument/2006/relationships/hyperlink" Target="https://www.nasponline.org/resources-and-publications/resources-and-podcasts/diversity-and-social-justice/lgbtq-youth/transgender-youth" TargetMode="External"/><Relationship Id="rId1" Type="http://schemas.openxmlformats.org/officeDocument/2006/relationships/numbering" Target="numbering.xml"/><Relationship Id="rId6" Type="http://schemas.openxmlformats.org/officeDocument/2006/relationships/hyperlink" Target="https://resources.csi.state.co.us/title-ix/" TargetMode="External"/><Relationship Id="rId11" Type="http://schemas.openxmlformats.org/officeDocument/2006/relationships/hyperlink" Target="https://transequality.org/sites/default/files/ED-DCL-Fact-Sheet.pdf" TargetMode="External"/><Relationship Id="rId5" Type="http://schemas.openxmlformats.org/officeDocument/2006/relationships/hyperlink" Target="https://www2.ed.gov/about/offices/list/ocr/docs/tix_dis.html" TargetMode="External"/><Relationship Id="rId15" Type="http://schemas.openxmlformats.org/officeDocument/2006/relationships/hyperlink" Target="https://www.sswaa.org/advocacy-resolutionstatements" TargetMode="External"/><Relationship Id="rId10" Type="http://schemas.openxmlformats.org/officeDocument/2006/relationships/hyperlink" Target="https://www.presidiohill.org/sites/default/files/Presidio%20Post/January%202018/Affinity%20Group%20FAQs%2020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equality.org/sites/default/files/GLSEN%20Trans%20Model%20Policy%202016.pdf" TargetMode="External"/><Relationship Id="rId14" Type="http://schemas.openxmlformats.org/officeDocument/2006/relationships/hyperlink" Target="https://schoolcounselor.org/Standards-Positions/Position-Statements/ASCA-Position-Statements/The-School-Counselor-and-Transgender-Gender-non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Basch, Betsy</dc:creator>
  <cp:keywords/>
  <dc:description/>
  <cp:lastModifiedBy>Vigil, Raena</cp:lastModifiedBy>
  <cp:revision>3</cp:revision>
  <dcterms:created xsi:type="dcterms:W3CDTF">2023-07-07T14:59:00Z</dcterms:created>
  <dcterms:modified xsi:type="dcterms:W3CDTF">2023-07-10T17:46:00Z</dcterms:modified>
</cp:coreProperties>
</file>